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7186" w:rsidRPr="006239AC" w:rsidRDefault="00157186" w:rsidP="00157186">
      <w:pPr>
        <w:pStyle w:val="Obsah1"/>
      </w:pPr>
      <w:r w:rsidRPr="006239AC">
        <w:t>OBSAH</w:t>
      </w:r>
    </w:p>
    <w:p w:rsidR="002C14CB" w:rsidRDefault="002E7BCF">
      <w:pPr>
        <w:pStyle w:val="Obsah1"/>
        <w:rPr>
          <w:rFonts w:eastAsiaTheme="minorEastAsia" w:cstheme="minorBidi"/>
          <w:b w:val="0"/>
          <w:bCs w:val="0"/>
          <w:caps w:val="0"/>
          <w:szCs w:val="22"/>
        </w:rPr>
      </w:pPr>
      <w:r w:rsidRPr="002E7BCF">
        <w:fldChar w:fldCharType="begin"/>
      </w:r>
      <w:r w:rsidR="00157186">
        <w:instrText xml:space="preserve"> TOC \o "1-2" \h \z \u </w:instrText>
      </w:r>
      <w:r w:rsidRPr="002E7BCF">
        <w:fldChar w:fldCharType="separate"/>
      </w:r>
      <w:hyperlink w:anchor="_Toc147739188" w:history="1">
        <w:r w:rsidR="002C14CB" w:rsidRPr="008657F8">
          <w:rPr>
            <w:rStyle w:val="Hypertextovodkaz"/>
          </w:rPr>
          <w:t>1</w:t>
        </w:r>
        <w:r w:rsidR="002C14CB">
          <w:rPr>
            <w:rFonts w:eastAsiaTheme="minorEastAsia" w:cstheme="minorBidi"/>
            <w:b w:val="0"/>
            <w:bCs w:val="0"/>
            <w:caps w:val="0"/>
            <w:szCs w:val="22"/>
          </w:rPr>
          <w:tab/>
        </w:r>
        <w:r w:rsidR="002C14CB" w:rsidRPr="008657F8">
          <w:rPr>
            <w:rStyle w:val="Hypertextovodkaz"/>
          </w:rPr>
          <w:t>Identifikační údaje</w:t>
        </w:r>
        <w:r w:rsidR="002C14CB">
          <w:rPr>
            <w:webHidden/>
          </w:rPr>
          <w:tab/>
        </w:r>
        <w:r>
          <w:rPr>
            <w:webHidden/>
          </w:rPr>
          <w:fldChar w:fldCharType="begin"/>
        </w:r>
        <w:r w:rsidR="002C14CB">
          <w:rPr>
            <w:webHidden/>
          </w:rPr>
          <w:instrText xml:space="preserve"> PAGEREF _Toc147739188 \h </w:instrText>
        </w:r>
        <w:r>
          <w:rPr>
            <w:webHidden/>
          </w:rPr>
        </w:r>
        <w:r>
          <w:rPr>
            <w:webHidden/>
          </w:rPr>
          <w:fldChar w:fldCharType="separate"/>
        </w:r>
        <w:r w:rsidR="00617532">
          <w:rPr>
            <w:webHidden/>
          </w:rPr>
          <w:t>2</w:t>
        </w:r>
        <w:r>
          <w:rPr>
            <w:webHidden/>
          </w:rPr>
          <w:fldChar w:fldCharType="end"/>
        </w:r>
      </w:hyperlink>
    </w:p>
    <w:p w:rsidR="002C14CB" w:rsidRDefault="002E7BCF">
      <w:pPr>
        <w:pStyle w:val="Obsah1"/>
        <w:rPr>
          <w:rFonts w:eastAsiaTheme="minorEastAsia" w:cstheme="minorBidi"/>
          <w:b w:val="0"/>
          <w:bCs w:val="0"/>
          <w:caps w:val="0"/>
          <w:szCs w:val="22"/>
        </w:rPr>
      </w:pPr>
      <w:hyperlink w:anchor="_Toc147739189" w:history="1">
        <w:r w:rsidR="002C14CB" w:rsidRPr="008657F8">
          <w:rPr>
            <w:rStyle w:val="Hypertextovodkaz"/>
          </w:rPr>
          <w:t>2</w:t>
        </w:r>
        <w:r w:rsidR="002C14CB">
          <w:rPr>
            <w:rFonts w:eastAsiaTheme="minorEastAsia" w:cstheme="minorBidi"/>
            <w:b w:val="0"/>
            <w:bCs w:val="0"/>
            <w:caps w:val="0"/>
            <w:szCs w:val="22"/>
          </w:rPr>
          <w:tab/>
        </w:r>
        <w:r w:rsidR="002C14CB" w:rsidRPr="008657F8">
          <w:rPr>
            <w:rStyle w:val="Hypertextovodkaz"/>
          </w:rPr>
          <w:t>popis konstrukčního systému</w:t>
        </w:r>
        <w:r w:rsidR="002C14CB">
          <w:rPr>
            <w:webHidden/>
          </w:rPr>
          <w:tab/>
        </w:r>
        <w:r>
          <w:rPr>
            <w:webHidden/>
          </w:rPr>
          <w:fldChar w:fldCharType="begin"/>
        </w:r>
        <w:r w:rsidR="002C14CB">
          <w:rPr>
            <w:webHidden/>
          </w:rPr>
          <w:instrText xml:space="preserve"> PAGEREF _Toc147739189 \h </w:instrText>
        </w:r>
        <w:r>
          <w:rPr>
            <w:webHidden/>
          </w:rPr>
        </w:r>
        <w:r>
          <w:rPr>
            <w:webHidden/>
          </w:rPr>
          <w:fldChar w:fldCharType="separate"/>
        </w:r>
        <w:r w:rsidR="00617532">
          <w:rPr>
            <w:webHidden/>
          </w:rPr>
          <w:t>3</w:t>
        </w:r>
        <w:r>
          <w:rPr>
            <w:webHidden/>
          </w:rPr>
          <w:fldChar w:fldCharType="end"/>
        </w:r>
      </w:hyperlink>
    </w:p>
    <w:p w:rsidR="002C14CB" w:rsidRDefault="002E7BCF">
      <w:pPr>
        <w:pStyle w:val="Obsah1"/>
        <w:rPr>
          <w:rFonts w:eastAsiaTheme="minorEastAsia" w:cstheme="minorBidi"/>
          <w:b w:val="0"/>
          <w:bCs w:val="0"/>
          <w:caps w:val="0"/>
          <w:szCs w:val="22"/>
        </w:rPr>
      </w:pPr>
      <w:hyperlink w:anchor="_Toc147739190" w:history="1">
        <w:r w:rsidR="002C14CB" w:rsidRPr="008657F8">
          <w:rPr>
            <w:rStyle w:val="Hypertextovodkaz"/>
            <w:rFonts w:eastAsia="Calibri"/>
          </w:rPr>
          <w:t>3</w:t>
        </w:r>
        <w:r w:rsidR="002C14CB">
          <w:rPr>
            <w:rFonts w:eastAsiaTheme="minorEastAsia" w:cstheme="minorBidi"/>
            <w:b w:val="0"/>
            <w:bCs w:val="0"/>
            <w:caps w:val="0"/>
            <w:szCs w:val="22"/>
          </w:rPr>
          <w:tab/>
        </w:r>
        <w:r w:rsidR="002C14CB" w:rsidRPr="008657F8">
          <w:rPr>
            <w:rStyle w:val="Hypertextovodkaz"/>
            <w:rFonts w:eastAsia="Calibri"/>
          </w:rPr>
          <w:t>KONSTRUKCE OBJEKTU</w:t>
        </w:r>
        <w:r w:rsidR="002C14CB">
          <w:rPr>
            <w:webHidden/>
          </w:rPr>
          <w:tab/>
        </w:r>
        <w:r>
          <w:rPr>
            <w:webHidden/>
          </w:rPr>
          <w:fldChar w:fldCharType="begin"/>
        </w:r>
        <w:r w:rsidR="002C14CB">
          <w:rPr>
            <w:webHidden/>
          </w:rPr>
          <w:instrText xml:space="preserve"> PAGEREF _Toc147739190 \h </w:instrText>
        </w:r>
        <w:r>
          <w:rPr>
            <w:webHidden/>
          </w:rPr>
        </w:r>
        <w:r>
          <w:rPr>
            <w:webHidden/>
          </w:rPr>
          <w:fldChar w:fldCharType="separate"/>
        </w:r>
        <w:r w:rsidR="00617532">
          <w:rPr>
            <w:webHidden/>
          </w:rPr>
          <w:t>3</w:t>
        </w:r>
        <w:r>
          <w:rPr>
            <w:webHidden/>
          </w:rPr>
          <w:fldChar w:fldCharType="end"/>
        </w:r>
      </w:hyperlink>
    </w:p>
    <w:p w:rsidR="002C14CB" w:rsidRDefault="002E7BCF">
      <w:pPr>
        <w:pStyle w:val="Obsah2"/>
        <w:rPr>
          <w:rFonts w:eastAsiaTheme="minorEastAsia" w:cstheme="minorBidi"/>
          <w:smallCaps w:val="0"/>
          <w:noProof/>
          <w:sz w:val="22"/>
          <w:szCs w:val="22"/>
        </w:rPr>
      </w:pPr>
      <w:hyperlink w:anchor="_Toc147739191" w:history="1">
        <w:r w:rsidR="002C14CB" w:rsidRPr="008657F8">
          <w:rPr>
            <w:rStyle w:val="Hypertextovodkaz"/>
            <w:rFonts w:eastAsia="Calibri"/>
            <w:noProof/>
          </w:rPr>
          <w:t>3.1</w:t>
        </w:r>
        <w:r w:rsidR="002C14CB">
          <w:rPr>
            <w:rFonts w:eastAsiaTheme="minorEastAsia" w:cstheme="minorBidi"/>
            <w:smallCaps w:val="0"/>
            <w:noProof/>
            <w:sz w:val="22"/>
            <w:szCs w:val="22"/>
          </w:rPr>
          <w:tab/>
        </w:r>
        <w:r w:rsidR="002C14CB" w:rsidRPr="008657F8">
          <w:rPr>
            <w:rStyle w:val="Hypertextovodkaz"/>
            <w:rFonts w:eastAsia="Calibri"/>
            <w:noProof/>
          </w:rPr>
          <w:t>Základové konstrukce</w:t>
        </w:r>
        <w:r w:rsidR="002C14CB">
          <w:rPr>
            <w:noProof/>
            <w:webHidden/>
          </w:rPr>
          <w:tab/>
        </w:r>
        <w:r>
          <w:rPr>
            <w:noProof/>
            <w:webHidden/>
          </w:rPr>
          <w:fldChar w:fldCharType="begin"/>
        </w:r>
        <w:r w:rsidR="002C14CB">
          <w:rPr>
            <w:noProof/>
            <w:webHidden/>
          </w:rPr>
          <w:instrText xml:space="preserve"> PAGEREF _Toc147739191 \h </w:instrText>
        </w:r>
        <w:r>
          <w:rPr>
            <w:noProof/>
            <w:webHidden/>
          </w:rPr>
        </w:r>
        <w:r>
          <w:rPr>
            <w:noProof/>
            <w:webHidden/>
          </w:rPr>
          <w:fldChar w:fldCharType="separate"/>
        </w:r>
        <w:r w:rsidR="00617532">
          <w:rPr>
            <w:noProof/>
            <w:webHidden/>
          </w:rPr>
          <w:t>3</w:t>
        </w:r>
        <w:r>
          <w:rPr>
            <w:noProof/>
            <w:webHidden/>
          </w:rPr>
          <w:fldChar w:fldCharType="end"/>
        </w:r>
      </w:hyperlink>
    </w:p>
    <w:p w:rsidR="002C14CB" w:rsidRDefault="002E7BCF">
      <w:pPr>
        <w:pStyle w:val="Obsah2"/>
        <w:rPr>
          <w:rFonts w:eastAsiaTheme="minorEastAsia" w:cstheme="minorBidi"/>
          <w:smallCaps w:val="0"/>
          <w:noProof/>
          <w:sz w:val="22"/>
          <w:szCs w:val="22"/>
        </w:rPr>
      </w:pPr>
      <w:hyperlink w:anchor="_Toc147739192" w:history="1">
        <w:r w:rsidR="002C14CB" w:rsidRPr="008657F8">
          <w:rPr>
            <w:rStyle w:val="Hypertextovodkaz"/>
            <w:rFonts w:eastAsia="Calibri"/>
            <w:noProof/>
          </w:rPr>
          <w:t>3.2</w:t>
        </w:r>
        <w:r w:rsidR="002C14CB">
          <w:rPr>
            <w:rFonts w:eastAsiaTheme="minorEastAsia" w:cstheme="minorBidi"/>
            <w:smallCaps w:val="0"/>
            <w:noProof/>
            <w:sz w:val="22"/>
            <w:szCs w:val="22"/>
          </w:rPr>
          <w:tab/>
        </w:r>
        <w:r w:rsidR="002C14CB" w:rsidRPr="008657F8">
          <w:rPr>
            <w:rStyle w:val="Hypertextovodkaz"/>
            <w:rFonts w:eastAsia="Calibri"/>
            <w:noProof/>
          </w:rPr>
          <w:t>Svislé konstrukce</w:t>
        </w:r>
        <w:r w:rsidR="002C14CB">
          <w:rPr>
            <w:noProof/>
            <w:webHidden/>
          </w:rPr>
          <w:tab/>
        </w:r>
        <w:r>
          <w:rPr>
            <w:noProof/>
            <w:webHidden/>
          </w:rPr>
          <w:fldChar w:fldCharType="begin"/>
        </w:r>
        <w:r w:rsidR="002C14CB">
          <w:rPr>
            <w:noProof/>
            <w:webHidden/>
          </w:rPr>
          <w:instrText xml:space="preserve"> PAGEREF _Toc147739192 \h </w:instrText>
        </w:r>
        <w:r>
          <w:rPr>
            <w:noProof/>
            <w:webHidden/>
          </w:rPr>
        </w:r>
        <w:r>
          <w:rPr>
            <w:noProof/>
            <w:webHidden/>
          </w:rPr>
          <w:fldChar w:fldCharType="separate"/>
        </w:r>
        <w:r w:rsidR="00617532">
          <w:rPr>
            <w:noProof/>
            <w:webHidden/>
          </w:rPr>
          <w:t>6</w:t>
        </w:r>
        <w:r>
          <w:rPr>
            <w:noProof/>
            <w:webHidden/>
          </w:rPr>
          <w:fldChar w:fldCharType="end"/>
        </w:r>
      </w:hyperlink>
    </w:p>
    <w:p w:rsidR="002C14CB" w:rsidRDefault="002E7BCF">
      <w:pPr>
        <w:pStyle w:val="Obsah2"/>
        <w:rPr>
          <w:rFonts w:eastAsiaTheme="minorEastAsia" w:cstheme="minorBidi"/>
          <w:smallCaps w:val="0"/>
          <w:noProof/>
          <w:sz w:val="22"/>
          <w:szCs w:val="22"/>
        </w:rPr>
      </w:pPr>
      <w:hyperlink w:anchor="_Toc147739193" w:history="1">
        <w:r w:rsidR="002C14CB" w:rsidRPr="008657F8">
          <w:rPr>
            <w:rStyle w:val="Hypertextovodkaz"/>
            <w:rFonts w:eastAsia="Calibri"/>
            <w:noProof/>
          </w:rPr>
          <w:t>3.3</w:t>
        </w:r>
        <w:r w:rsidR="002C14CB">
          <w:rPr>
            <w:rFonts w:eastAsiaTheme="minorEastAsia" w:cstheme="minorBidi"/>
            <w:smallCaps w:val="0"/>
            <w:noProof/>
            <w:sz w:val="22"/>
            <w:szCs w:val="22"/>
          </w:rPr>
          <w:tab/>
        </w:r>
        <w:r w:rsidR="002C14CB" w:rsidRPr="008657F8">
          <w:rPr>
            <w:rStyle w:val="Hypertextovodkaz"/>
            <w:rFonts w:eastAsia="Calibri"/>
            <w:noProof/>
          </w:rPr>
          <w:t>Vodorovné konstrukce</w:t>
        </w:r>
        <w:r w:rsidR="002C14CB">
          <w:rPr>
            <w:noProof/>
            <w:webHidden/>
          </w:rPr>
          <w:tab/>
        </w:r>
        <w:r>
          <w:rPr>
            <w:noProof/>
            <w:webHidden/>
          </w:rPr>
          <w:fldChar w:fldCharType="begin"/>
        </w:r>
        <w:r w:rsidR="002C14CB">
          <w:rPr>
            <w:noProof/>
            <w:webHidden/>
          </w:rPr>
          <w:instrText xml:space="preserve"> PAGEREF _Toc147739193 \h </w:instrText>
        </w:r>
        <w:r>
          <w:rPr>
            <w:noProof/>
            <w:webHidden/>
          </w:rPr>
        </w:r>
        <w:r>
          <w:rPr>
            <w:noProof/>
            <w:webHidden/>
          </w:rPr>
          <w:fldChar w:fldCharType="separate"/>
        </w:r>
        <w:r w:rsidR="00617532">
          <w:rPr>
            <w:noProof/>
            <w:webHidden/>
          </w:rPr>
          <w:t>7</w:t>
        </w:r>
        <w:r>
          <w:rPr>
            <w:noProof/>
            <w:webHidden/>
          </w:rPr>
          <w:fldChar w:fldCharType="end"/>
        </w:r>
      </w:hyperlink>
    </w:p>
    <w:p w:rsidR="002C14CB" w:rsidRDefault="002E7BCF">
      <w:pPr>
        <w:pStyle w:val="Obsah2"/>
        <w:rPr>
          <w:rFonts w:eastAsiaTheme="minorEastAsia" w:cstheme="minorBidi"/>
          <w:smallCaps w:val="0"/>
          <w:noProof/>
          <w:sz w:val="22"/>
          <w:szCs w:val="22"/>
        </w:rPr>
      </w:pPr>
      <w:hyperlink w:anchor="_Toc147739194" w:history="1">
        <w:r w:rsidR="002C14CB" w:rsidRPr="008657F8">
          <w:rPr>
            <w:rStyle w:val="Hypertextovodkaz"/>
            <w:rFonts w:eastAsia="Calibri"/>
            <w:noProof/>
          </w:rPr>
          <w:t>3.4</w:t>
        </w:r>
        <w:r w:rsidR="002C14CB">
          <w:rPr>
            <w:rFonts w:eastAsiaTheme="minorEastAsia" w:cstheme="minorBidi"/>
            <w:smallCaps w:val="0"/>
            <w:noProof/>
            <w:sz w:val="22"/>
            <w:szCs w:val="22"/>
          </w:rPr>
          <w:tab/>
        </w:r>
        <w:r w:rsidR="002C14CB" w:rsidRPr="008657F8">
          <w:rPr>
            <w:rStyle w:val="Hypertextovodkaz"/>
            <w:rFonts w:eastAsia="Calibri"/>
            <w:noProof/>
          </w:rPr>
          <w:t>Dilatace</w:t>
        </w:r>
        <w:r w:rsidR="002C14CB">
          <w:rPr>
            <w:noProof/>
            <w:webHidden/>
          </w:rPr>
          <w:tab/>
        </w:r>
        <w:r>
          <w:rPr>
            <w:noProof/>
            <w:webHidden/>
          </w:rPr>
          <w:fldChar w:fldCharType="begin"/>
        </w:r>
        <w:r w:rsidR="002C14CB">
          <w:rPr>
            <w:noProof/>
            <w:webHidden/>
          </w:rPr>
          <w:instrText xml:space="preserve"> PAGEREF _Toc147739194 \h </w:instrText>
        </w:r>
        <w:r>
          <w:rPr>
            <w:noProof/>
            <w:webHidden/>
          </w:rPr>
        </w:r>
        <w:r>
          <w:rPr>
            <w:noProof/>
            <w:webHidden/>
          </w:rPr>
          <w:fldChar w:fldCharType="separate"/>
        </w:r>
        <w:r w:rsidR="00617532">
          <w:rPr>
            <w:noProof/>
            <w:webHidden/>
          </w:rPr>
          <w:t>8</w:t>
        </w:r>
        <w:r>
          <w:rPr>
            <w:noProof/>
            <w:webHidden/>
          </w:rPr>
          <w:fldChar w:fldCharType="end"/>
        </w:r>
      </w:hyperlink>
    </w:p>
    <w:p w:rsidR="002C14CB" w:rsidRDefault="002E7BCF">
      <w:pPr>
        <w:pStyle w:val="Obsah2"/>
        <w:rPr>
          <w:rFonts w:eastAsiaTheme="minorEastAsia" w:cstheme="minorBidi"/>
          <w:smallCaps w:val="0"/>
          <w:noProof/>
          <w:sz w:val="22"/>
          <w:szCs w:val="22"/>
        </w:rPr>
      </w:pPr>
      <w:hyperlink w:anchor="_Toc147739195" w:history="1">
        <w:r w:rsidR="002C14CB" w:rsidRPr="008657F8">
          <w:rPr>
            <w:rStyle w:val="Hypertextovodkaz"/>
            <w:noProof/>
          </w:rPr>
          <w:t>3.5</w:t>
        </w:r>
        <w:r w:rsidR="002C14CB">
          <w:rPr>
            <w:rFonts w:eastAsiaTheme="minorEastAsia" w:cstheme="minorBidi"/>
            <w:smallCaps w:val="0"/>
            <w:noProof/>
            <w:sz w:val="22"/>
            <w:szCs w:val="22"/>
          </w:rPr>
          <w:tab/>
        </w:r>
        <w:r w:rsidR="002C14CB" w:rsidRPr="008657F8">
          <w:rPr>
            <w:rStyle w:val="Hypertextovodkaz"/>
            <w:noProof/>
          </w:rPr>
          <w:t>Použité materiály</w:t>
        </w:r>
        <w:r w:rsidR="002C14CB">
          <w:rPr>
            <w:noProof/>
            <w:webHidden/>
          </w:rPr>
          <w:tab/>
        </w:r>
        <w:r>
          <w:rPr>
            <w:noProof/>
            <w:webHidden/>
          </w:rPr>
          <w:fldChar w:fldCharType="begin"/>
        </w:r>
        <w:r w:rsidR="002C14CB">
          <w:rPr>
            <w:noProof/>
            <w:webHidden/>
          </w:rPr>
          <w:instrText xml:space="preserve"> PAGEREF _Toc147739195 \h </w:instrText>
        </w:r>
        <w:r>
          <w:rPr>
            <w:noProof/>
            <w:webHidden/>
          </w:rPr>
        </w:r>
        <w:r>
          <w:rPr>
            <w:noProof/>
            <w:webHidden/>
          </w:rPr>
          <w:fldChar w:fldCharType="separate"/>
        </w:r>
        <w:r w:rsidR="00617532">
          <w:rPr>
            <w:noProof/>
            <w:webHidden/>
          </w:rPr>
          <w:t>8</w:t>
        </w:r>
        <w:r>
          <w:rPr>
            <w:noProof/>
            <w:webHidden/>
          </w:rPr>
          <w:fldChar w:fldCharType="end"/>
        </w:r>
      </w:hyperlink>
    </w:p>
    <w:p w:rsidR="002C14CB" w:rsidRDefault="002E7BCF">
      <w:pPr>
        <w:pStyle w:val="Obsah1"/>
        <w:rPr>
          <w:rFonts w:eastAsiaTheme="minorEastAsia" w:cstheme="minorBidi"/>
          <w:b w:val="0"/>
          <w:bCs w:val="0"/>
          <w:caps w:val="0"/>
          <w:szCs w:val="22"/>
        </w:rPr>
      </w:pPr>
      <w:hyperlink w:anchor="_Toc147739196" w:history="1">
        <w:r w:rsidR="002C14CB" w:rsidRPr="008657F8">
          <w:rPr>
            <w:rStyle w:val="Hypertextovodkaz"/>
          </w:rPr>
          <w:t>4</w:t>
        </w:r>
        <w:r w:rsidR="002C14CB">
          <w:rPr>
            <w:rFonts w:eastAsiaTheme="minorEastAsia" w:cstheme="minorBidi"/>
            <w:b w:val="0"/>
            <w:bCs w:val="0"/>
            <w:caps w:val="0"/>
            <w:szCs w:val="22"/>
          </w:rPr>
          <w:tab/>
        </w:r>
        <w:r w:rsidR="002C14CB" w:rsidRPr="008657F8">
          <w:rPr>
            <w:rStyle w:val="Hypertextovodkaz"/>
          </w:rPr>
          <w:t>Zatížení a limitní deformace konstrukce</w:t>
        </w:r>
        <w:r w:rsidR="002C14CB">
          <w:rPr>
            <w:webHidden/>
          </w:rPr>
          <w:tab/>
        </w:r>
        <w:r>
          <w:rPr>
            <w:webHidden/>
          </w:rPr>
          <w:fldChar w:fldCharType="begin"/>
        </w:r>
        <w:r w:rsidR="002C14CB">
          <w:rPr>
            <w:webHidden/>
          </w:rPr>
          <w:instrText xml:space="preserve"> PAGEREF _Toc147739196 \h </w:instrText>
        </w:r>
        <w:r>
          <w:rPr>
            <w:webHidden/>
          </w:rPr>
        </w:r>
        <w:r>
          <w:rPr>
            <w:webHidden/>
          </w:rPr>
          <w:fldChar w:fldCharType="separate"/>
        </w:r>
        <w:r w:rsidR="00617532">
          <w:rPr>
            <w:webHidden/>
          </w:rPr>
          <w:t>8</w:t>
        </w:r>
        <w:r>
          <w:rPr>
            <w:webHidden/>
          </w:rPr>
          <w:fldChar w:fldCharType="end"/>
        </w:r>
      </w:hyperlink>
    </w:p>
    <w:p w:rsidR="002C14CB" w:rsidRDefault="002E7BCF">
      <w:pPr>
        <w:pStyle w:val="Obsah2"/>
        <w:rPr>
          <w:rFonts w:eastAsiaTheme="minorEastAsia" w:cstheme="minorBidi"/>
          <w:smallCaps w:val="0"/>
          <w:noProof/>
          <w:sz w:val="22"/>
          <w:szCs w:val="22"/>
        </w:rPr>
      </w:pPr>
      <w:hyperlink w:anchor="_Toc147739197" w:history="1">
        <w:r w:rsidR="002C14CB" w:rsidRPr="008657F8">
          <w:rPr>
            <w:rStyle w:val="Hypertextovodkaz"/>
            <w:noProof/>
          </w:rPr>
          <w:t>4.1</w:t>
        </w:r>
        <w:r w:rsidR="002C14CB">
          <w:rPr>
            <w:rFonts w:eastAsiaTheme="minorEastAsia" w:cstheme="minorBidi"/>
            <w:smallCaps w:val="0"/>
            <w:noProof/>
            <w:sz w:val="22"/>
            <w:szCs w:val="22"/>
          </w:rPr>
          <w:tab/>
        </w:r>
        <w:r w:rsidR="002C14CB" w:rsidRPr="008657F8">
          <w:rPr>
            <w:rStyle w:val="Hypertextovodkaz"/>
            <w:noProof/>
          </w:rPr>
          <w:t>Stálá zatížení</w:t>
        </w:r>
        <w:r w:rsidR="002C14CB">
          <w:rPr>
            <w:noProof/>
            <w:webHidden/>
          </w:rPr>
          <w:tab/>
        </w:r>
        <w:r>
          <w:rPr>
            <w:noProof/>
            <w:webHidden/>
          </w:rPr>
          <w:fldChar w:fldCharType="begin"/>
        </w:r>
        <w:r w:rsidR="002C14CB">
          <w:rPr>
            <w:noProof/>
            <w:webHidden/>
          </w:rPr>
          <w:instrText xml:space="preserve"> PAGEREF _Toc147739197 \h </w:instrText>
        </w:r>
        <w:r>
          <w:rPr>
            <w:noProof/>
            <w:webHidden/>
          </w:rPr>
        </w:r>
        <w:r>
          <w:rPr>
            <w:noProof/>
            <w:webHidden/>
          </w:rPr>
          <w:fldChar w:fldCharType="separate"/>
        </w:r>
        <w:r w:rsidR="00617532">
          <w:rPr>
            <w:noProof/>
            <w:webHidden/>
          </w:rPr>
          <w:t>8</w:t>
        </w:r>
        <w:r>
          <w:rPr>
            <w:noProof/>
            <w:webHidden/>
          </w:rPr>
          <w:fldChar w:fldCharType="end"/>
        </w:r>
      </w:hyperlink>
    </w:p>
    <w:p w:rsidR="002C14CB" w:rsidRDefault="002E7BCF">
      <w:pPr>
        <w:pStyle w:val="Obsah2"/>
        <w:rPr>
          <w:rFonts w:eastAsiaTheme="minorEastAsia" w:cstheme="minorBidi"/>
          <w:smallCaps w:val="0"/>
          <w:noProof/>
          <w:sz w:val="22"/>
          <w:szCs w:val="22"/>
        </w:rPr>
      </w:pPr>
      <w:hyperlink w:anchor="_Toc147739198" w:history="1">
        <w:r w:rsidR="002C14CB" w:rsidRPr="008657F8">
          <w:rPr>
            <w:rStyle w:val="Hypertextovodkaz"/>
            <w:noProof/>
          </w:rPr>
          <w:t>4.2</w:t>
        </w:r>
        <w:r w:rsidR="002C14CB">
          <w:rPr>
            <w:rFonts w:eastAsiaTheme="minorEastAsia" w:cstheme="minorBidi"/>
            <w:smallCaps w:val="0"/>
            <w:noProof/>
            <w:sz w:val="22"/>
            <w:szCs w:val="22"/>
          </w:rPr>
          <w:tab/>
        </w:r>
        <w:r w:rsidR="002C14CB" w:rsidRPr="008657F8">
          <w:rPr>
            <w:rStyle w:val="Hypertextovodkaz"/>
            <w:noProof/>
          </w:rPr>
          <w:t>Proměnná zatížení</w:t>
        </w:r>
        <w:r w:rsidR="002C14CB">
          <w:rPr>
            <w:noProof/>
            <w:webHidden/>
          </w:rPr>
          <w:tab/>
        </w:r>
        <w:r>
          <w:rPr>
            <w:noProof/>
            <w:webHidden/>
          </w:rPr>
          <w:fldChar w:fldCharType="begin"/>
        </w:r>
        <w:r w:rsidR="002C14CB">
          <w:rPr>
            <w:noProof/>
            <w:webHidden/>
          </w:rPr>
          <w:instrText xml:space="preserve"> PAGEREF _Toc147739198 \h </w:instrText>
        </w:r>
        <w:r>
          <w:rPr>
            <w:noProof/>
            <w:webHidden/>
          </w:rPr>
        </w:r>
        <w:r>
          <w:rPr>
            <w:noProof/>
            <w:webHidden/>
          </w:rPr>
          <w:fldChar w:fldCharType="separate"/>
        </w:r>
        <w:r w:rsidR="00617532">
          <w:rPr>
            <w:noProof/>
            <w:webHidden/>
          </w:rPr>
          <w:t>9</w:t>
        </w:r>
        <w:r>
          <w:rPr>
            <w:noProof/>
            <w:webHidden/>
          </w:rPr>
          <w:fldChar w:fldCharType="end"/>
        </w:r>
      </w:hyperlink>
    </w:p>
    <w:p w:rsidR="002C14CB" w:rsidRDefault="002E7BCF">
      <w:pPr>
        <w:pStyle w:val="Obsah2"/>
        <w:rPr>
          <w:rFonts w:eastAsiaTheme="minorEastAsia" w:cstheme="minorBidi"/>
          <w:smallCaps w:val="0"/>
          <w:noProof/>
          <w:sz w:val="22"/>
          <w:szCs w:val="22"/>
        </w:rPr>
      </w:pPr>
      <w:hyperlink w:anchor="_Toc147739199" w:history="1">
        <w:r w:rsidR="002C14CB" w:rsidRPr="008657F8">
          <w:rPr>
            <w:rStyle w:val="Hypertextovodkaz"/>
            <w:noProof/>
          </w:rPr>
          <w:t>4.3</w:t>
        </w:r>
        <w:r w:rsidR="002C14CB">
          <w:rPr>
            <w:rFonts w:eastAsiaTheme="minorEastAsia" w:cstheme="minorBidi"/>
            <w:smallCaps w:val="0"/>
            <w:noProof/>
            <w:sz w:val="22"/>
            <w:szCs w:val="22"/>
          </w:rPr>
          <w:tab/>
        </w:r>
        <w:r w:rsidR="002C14CB" w:rsidRPr="008657F8">
          <w:rPr>
            <w:rStyle w:val="Hypertextovodkaz"/>
            <w:noProof/>
          </w:rPr>
          <w:t>Speciální a dynamické zatížení</w:t>
        </w:r>
        <w:r w:rsidR="002C14CB">
          <w:rPr>
            <w:noProof/>
            <w:webHidden/>
          </w:rPr>
          <w:tab/>
        </w:r>
        <w:r>
          <w:rPr>
            <w:noProof/>
            <w:webHidden/>
          </w:rPr>
          <w:fldChar w:fldCharType="begin"/>
        </w:r>
        <w:r w:rsidR="002C14CB">
          <w:rPr>
            <w:noProof/>
            <w:webHidden/>
          </w:rPr>
          <w:instrText xml:space="preserve"> PAGEREF _Toc147739199 \h </w:instrText>
        </w:r>
        <w:r>
          <w:rPr>
            <w:noProof/>
            <w:webHidden/>
          </w:rPr>
        </w:r>
        <w:r>
          <w:rPr>
            <w:noProof/>
            <w:webHidden/>
          </w:rPr>
          <w:fldChar w:fldCharType="separate"/>
        </w:r>
        <w:r w:rsidR="00617532">
          <w:rPr>
            <w:noProof/>
            <w:webHidden/>
          </w:rPr>
          <w:t>9</w:t>
        </w:r>
        <w:r>
          <w:rPr>
            <w:noProof/>
            <w:webHidden/>
          </w:rPr>
          <w:fldChar w:fldCharType="end"/>
        </w:r>
      </w:hyperlink>
    </w:p>
    <w:p w:rsidR="002C14CB" w:rsidRDefault="002E7BCF">
      <w:pPr>
        <w:pStyle w:val="Obsah2"/>
        <w:rPr>
          <w:rFonts w:eastAsiaTheme="minorEastAsia" w:cstheme="minorBidi"/>
          <w:smallCaps w:val="0"/>
          <w:noProof/>
          <w:sz w:val="22"/>
          <w:szCs w:val="22"/>
        </w:rPr>
      </w:pPr>
      <w:hyperlink w:anchor="_Toc147739200" w:history="1">
        <w:r w:rsidR="002C14CB" w:rsidRPr="008657F8">
          <w:rPr>
            <w:rStyle w:val="Hypertextovodkaz"/>
            <w:noProof/>
          </w:rPr>
          <w:t>4.4</w:t>
        </w:r>
        <w:r w:rsidR="002C14CB">
          <w:rPr>
            <w:rFonts w:eastAsiaTheme="minorEastAsia" w:cstheme="minorBidi"/>
            <w:smallCaps w:val="0"/>
            <w:noProof/>
            <w:sz w:val="22"/>
            <w:szCs w:val="22"/>
          </w:rPr>
          <w:tab/>
        </w:r>
        <w:r w:rsidR="002C14CB" w:rsidRPr="008657F8">
          <w:rPr>
            <w:rStyle w:val="Hypertextovodkaz"/>
            <w:noProof/>
          </w:rPr>
          <w:t>Deformace</w:t>
        </w:r>
        <w:r w:rsidR="002C14CB">
          <w:rPr>
            <w:noProof/>
            <w:webHidden/>
          </w:rPr>
          <w:tab/>
        </w:r>
        <w:r>
          <w:rPr>
            <w:noProof/>
            <w:webHidden/>
          </w:rPr>
          <w:fldChar w:fldCharType="begin"/>
        </w:r>
        <w:r w:rsidR="002C14CB">
          <w:rPr>
            <w:noProof/>
            <w:webHidden/>
          </w:rPr>
          <w:instrText xml:space="preserve"> PAGEREF _Toc147739200 \h </w:instrText>
        </w:r>
        <w:r>
          <w:rPr>
            <w:noProof/>
            <w:webHidden/>
          </w:rPr>
        </w:r>
        <w:r>
          <w:rPr>
            <w:noProof/>
            <w:webHidden/>
          </w:rPr>
          <w:fldChar w:fldCharType="separate"/>
        </w:r>
        <w:r w:rsidR="00617532">
          <w:rPr>
            <w:noProof/>
            <w:webHidden/>
          </w:rPr>
          <w:t>10</w:t>
        </w:r>
        <w:r>
          <w:rPr>
            <w:noProof/>
            <w:webHidden/>
          </w:rPr>
          <w:fldChar w:fldCharType="end"/>
        </w:r>
      </w:hyperlink>
    </w:p>
    <w:p w:rsidR="002C14CB" w:rsidRDefault="002E7BCF">
      <w:pPr>
        <w:pStyle w:val="Obsah1"/>
        <w:rPr>
          <w:rFonts w:eastAsiaTheme="minorEastAsia" w:cstheme="minorBidi"/>
          <w:b w:val="0"/>
          <w:bCs w:val="0"/>
          <w:caps w:val="0"/>
          <w:szCs w:val="22"/>
        </w:rPr>
      </w:pPr>
      <w:hyperlink w:anchor="_Toc147739201" w:history="1">
        <w:r w:rsidR="002C14CB" w:rsidRPr="008657F8">
          <w:rPr>
            <w:rStyle w:val="Hypertextovodkaz"/>
          </w:rPr>
          <w:t>5</w:t>
        </w:r>
        <w:r w:rsidR="002C14CB">
          <w:rPr>
            <w:rFonts w:eastAsiaTheme="minorEastAsia" w:cstheme="minorBidi"/>
            <w:b w:val="0"/>
            <w:bCs w:val="0"/>
            <w:caps w:val="0"/>
            <w:szCs w:val="22"/>
          </w:rPr>
          <w:tab/>
        </w:r>
        <w:r w:rsidR="002C14CB" w:rsidRPr="008657F8">
          <w:rPr>
            <w:rStyle w:val="Hypertextovodkaz"/>
          </w:rPr>
          <w:t>speciální konstrukce, detaily a postupy</w:t>
        </w:r>
        <w:r w:rsidR="002C14CB">
          <w:rPr>
            <w:webHidden/>
          </w:rPr>
          <w:tab/>
        </w:r>
        <w:r>
          <w:rPr>
            <w:webHidden/>
          </w:rPr>
          <w:fldChar w:fldCharType="begin"/>
        </w:r>
        <w:r w:rsidR="002C14CB">
          <w:rPr>
            <w:webHidden/>
          </w:rPr>
          <w:instrText xml:space="preserve"> PAGEREF _Toc147739201 \h </w:instrText>
        </w:r>
        <w:r>
          <w:rPr>
            <w:webHidden/>
          </w:rPr>
        </w:r>
        <w:r>
          <w:rPr>
            <w:webHidden/>
          </w:rPr>
          <w:fldChar w:fldCharType="separate"/>
        </w:r>
        <w:r w:rsidR="00617532">
          <w:rPr>
            <w:webHidden/>
          </w:rPr>
          <w:t>10</w:t>
        </w:r>
        <w:r>
          <w:rPr>
            <w:webHidden/>
          </w:rPr>
          <w:fldChar w:fldCharType="end"/>
        </w:r>
      </w:hyperlink>
    </w:p>
    <w:p w:rsidR="002C14CB" w:rsidRDefault="002E7BCF">
      <w:pPr>
        <w:pStyle w:val="Obsah1"/>
        <w:rPr>
          <w:rFonts w:eastAsiaTheme="minorEastAsia" w:cstheme="minorBidi"/>
          <w:b w:val="0"/>
          <w:bCs w:val="0"/>
          <w:caps w:val="0"/>
          <w:szCs w:val="22"/>
        </w:rPr>
      </w:pPr>
      <w:hyperlink w:anchor="_Toc147739202" w:history="1">
        <w:r w:rsidR="002C14CB" w:rsidRPr="008657F8">
          <w:rPr>
            <w:rStyle w:val="Hypertextovodkaz"/>
          </w:rPr>
          <w:t>6</w:t>
        </w:r>
        <w:r w:rsidR="002C14CB">
          <w:rPr>
            <w:rFonts w:eastAsiaTheme="minorEastAsia" w:cstheme="minorBidi"/>
            <w:b w:val="0"/>
            <w:bCs w:val="0"/>
            <w:caps w:val="0"/>
            <w:szCs w:val="22"/>
          </w:rPr>
          <w:tab/>
        </w:r>
        <w:r w:rsidR="002C14CB" w:rsidRPr="008657F8">
          <w:rPr>
            <w:rStyle w:val="Hypertextovodkaz"/>
          </w:rPr>
          <w:t>technologické podmínky</w:t>
        </w:r>
        <w:r w:rsidR="002C14CB">
          <w:rPr>
            <w:webHidden/>
          </w:rPr>
          <w:tab/>
        </w:r>
        <w:r>
          <w:rPr>
            <w:webHidden/>
          </w:rPr>
          <w:fldChar w:fldCharType="begin"/>
        </w:r>
        <w:r w:rsidR="002C14CB">
          <w:rPr>
            <w:webHidden/>
          </w:rPr>
          <w:instrText xml:space="preserve"> PAGEREF _Toc147739202 \h </w:instrText>
        </w:r>
        <w:r>
          <w:rPr>
            <w:webHidden/>
          </w:rPr>
        </w:r>
        <w:r>
          <w:rPr>
            <w:webHidden/>
          </w:rPr>
          <w:fldChar w:fldCharType="separate"/>
        </w:r>
        <w:r w:rsidR="00617532">
          <w:rPr>
            <w:webHidden/>
          </w:rPr>
          <w:t>10</w:t>
        </w:r>
        <w:r>
          <w:rPr>
            <w:webHidden/>
          </w:rPr>
          <w:fldChar w:fldCharType="end"/>
        </w:r>
      </w:hyperlink>
    </w:p>
    <w:p w:rsidR="002C14CB" w:rsidRDefault="002E7BCF">
      <w:pPr>
        <w:pStyle w:val="Obsah2"/>
        <w:rPr>
          <w:rFonts w:eastAsiaTheme="minorEastAsia" w:cstheme="minorBidi"/>
          <w:smallCaps w:val="0"/>
          <w:noProof/>
          <w:sz w:val="22"/>
          <w:szCs w:val="22"/>
        </w:rPr>
      </w:pPr>
      <w:hyperlink w:anchor="_Toc147739203" w:history="1">
        <w:r w:rsidR="002C14CB" w:rsidRPr="008657F8">
          <w:rPr>
            <w:rStyle w:val="Hypertextovodkaz"/>
            <w:noProof/>
          </w:rPr>
          <w:t>6.1</w:t>
        </w:r>
        <w:r w:rsidR="002C14CB">
          <w:rPr>
            <w:rFonts w:eastAsiaTheme="minorEastAsia" w:cstheme="minorBidi"/>
            <w:smallCaps w:val="0"/>
            <w:noProof/>
            <w:sz w:val="22"/>
            <w:szCs w:val="22"/>
          </w:rPr>
          <w:tab/>
        </w:r>
        <w:r w:rsidR="002C14CB" w:rsidRPr="008657F8">
          <w:rPr>
            <w:rStyle w:val="Hypertextovodkaz"/>
            <w:noProof/>
          </w:rPr>
          <w:t>Provádění zděných konstrukcí</w:t>
        </w:r>
        <w:r w:rsidR="002C14CB">
          <w:rPr>
            <w:noProof/>
            <w:webHidden/>
          </w:rPr>
          <w:tab/>
        </w:r>
        <w:r>
          <w:rPr>
            <w:noProof/>
            <w:webHidden/>
          </w:rPr>
          <w:fldChar w:fldCharType="begin"/>
        </w:r>
        <w:r w:rsidR="002C14CB">
          <w:rPr>
            <w:noProof/>
            <w:webHidden/>
          </w:rPr>
          <w:instrText xml:space="preserve"> PAGEREF _Toc147739203 \h </w:instrText>
        </w:r>
        <w:r>
          <w:rPr>
            <w:noProof/>
            <w:webHidden/>
          </w:rPr>
        </w:r>
        <w:r>
          <w:rPr>
            <w:noProof/>
            <w:webHidden/>
          </w:rPr>
          <w:fldChar w:fldCharType="separate"/>
        </w:r>
        <w:r w:rsidR="00617532">
          <w:rPr>
            <w:noProof/>
            <w:webHidden/>
          </w:rPr>
          <w:t>10</w:t>
        </w:r>
        <w:r>
          <w:rPr>
            <w:noProof/>
            <w:webHidden/>
          </w:rPr>
          <w:fldChar w:fldCharType="end"/>
        </w:r>
      </w:hyperlink>
    </w:p>
    <w:p w:rsidR="002C14CB" w:rsidRDefault="002E7BCF">
      <w:pPr>
        <w:pStyle w:val="Obsah2"/>
        <w:rPr>
          <w:rFonts w:eastAsiaTheme="minorEastAsia" w:cstheme="minorBidi"/>
          <w:smallCaps w:val="0"/>
          <w:noProof/>
          <w:sz w:val="22"/>
          <w:szCs w:val="22"/>
        </w:rPr>
      </w:pPr>
      <w:hyperlink w:anchor="_Toc147739204" w:history="1">
        <w:r w:rsidR="002C14CB" w:rsidRPr="008657F8">
          <w:rPr>
            <w:rStyle w:val="Hypertextovodkaz"/>
            <w:noProof/>
          </w:rPr>
          <w:t>6.2</w:t>
        </w:r>
        <w:r w:rsidR="002C14CB">
          <w:rPr>
            <w:rFonts w:eastAsiaTheme="minorEastAsia" w:cstheme="minorBidi"/>
            <w:smallCaps w:val="0"/>
            <w:noProof/>
            <w:sz w:val="22"/>
            <w:szCs w:val="22"/>
          </w:rPr>
          <w:tab/>
        </w:r>
        <w:r w:rsidR="002C14CB" w:rsidRPr="008657F8">
          <w:rPr>
            <w:rStyle w:val="Hypertextovodkaz"/>
            <w:noProof/>
          </w:rPr>
          <w:t>Provádění dřevěných konstrukcí</w:t>
        </w:r>
        <w:r w:rsidR="002C14CB">
          <w:rPr>
            <w:noProof/>
            <w:webHidden/>
          </w:rPr>
          <w:tab/>
        </w:r>
        <w:r>
          <w:rPr>
            <w:noProof/>
            <w:webHidden/>
          </w:rPr>
          <w:fldChar w:fldCharType="begin"/>
        </w:r>
        <w:r w:rsidR="002C14CB">
          <w:rPr>
            <w:noProof/>
            <w:webHidden/>
          </w:rPr>
          <w:instrText xml:space="preserve"> PAGEREF _Toc147739204 \h </w:instrText>
        </w:r>
        <w:r>
          <w:rPr>
            <w:noProof/>
            <w:webHidden/>
          </w:rPr>
        </w:r>
        <w:r>
          <w:rPr>
            <w:noProof/>
            <w:webHidden/>
          </w:rPr>
          <w:fldChar w:fldCharType="separate"/>
        </w:r>
        <w:r w:rsidR="00617532">
          <w:rPr>
            <w:noProof/>
            <w:webHidden/>
          </w:rPr>
          <w:t>12</w:t>
        </w:r>
        <w:r>
          <w:rPr>
            <w:noProof/>
            <w:webHidden/>
          </w:rPr>
          <w:fldChar w:fldCharType="end"/>
        </w:r>
      </w:hyperlink>
    </w:p>
    <w:p w:rsidR="002C14CB" w:rsidRDefault="002E7BCF">
      <w:pPr>
        <w:pStyle w:val="Obsah2"/>
        <w:rPr>
          <w:rFonts w:eastAsiaTheme="minorEastAsia" w:cstheme="minorBidi"/>
          <w:smallCaps w:val="0"/>
          <w:noProof/>
          <w:sz w:val="22"/>
          <w:szCs w:val="22"/>
        </w:rPr>
      </w:pPr>
      <w:hyperlink w:anchor="_Toc147739205" w:history="1">
        <w:r w:rsidR="002C14CB" w:rsidRPr="008657F8">
          <w:rPr>
            <w:rStyle w:val="Hypertextovodkaz"/>
            <w:noProof/>
          </w:rPr>
          <w:t>6.3</w:t>
        </w:r>
        <w:r w:rsidR="002C14CB">
          <w:rPr>
            <w:rFonts w:eastAsiaTheme="minorEastAsia" w:cstheme="minorBidi"/>
            <w:smallCaps w:val="0"/>
            <w:noProof/>
            <w:sz w:val="22"/>
            <w:szCs w:val="22"/>
          </w:rPr>
          <w:tab/>
        </w:r>
        <w:r w:rsidR="002C14CB" w:rsidRPr="008657F8">
          <w:rPr>
            <w:rStyle w:val="Hypertextovodkaz"/>
            <w:noProof/>
          </w:rPr>
          <w:t>Provádění železobetonových konstrukcí</w:t>
        </w:r>
        <w:r w:rsidR="002C14CB">
          <w:rPr>
            <w:noProof/>
            <w:webHidden/>
          </w:rPr>
          <w:tab/>
        </w:r>
        <w:r>
          <w:rPr>
            <w:noProof/>
            <w:webHidden/>
          </w:rPr>
          <w:fldChar w:fldCharType="begin"/>
        </w:r>
        <w:r w:rsidR="002C14CB">
          <w:rPr>
            <w:noProof/>
            <w:webHidden/>
          </w:rPr>
          <w:instrText xml:space="preserve"> PAGEREF _Toc147739205 \h </w:instrText>
        </w:r>
        <w:r>
          <w:rPr>
            <w:noProof/>
            <w:webHidden/>
          </w:rPr>
        </w:r>
        <w:r>
          <w:rPr>
            <w:noProof/>
            <w:webHidden/>
          </w:rPr>
          <w:fldChar w:fldCharType="separate"/>
        </w:r>
        <w:r w:rsidR="00617532">
          <w:rPr>
            <w:noProof/>
            <w:webHidden/>
          </w:rPr>
          <w:t>12</w:t>
        </w:r>
        <w:r>
          <w:rPr>
            <w:noProof/>
            <w:webHidden/>
          </w:rPr>
          <w:fldChar w:fldCharType="end"/>
        </w:r>
      </w:hyperlink>
    </w:p>
    <w:p w:rsidR="002C14CB" w:rsidRDefault="002E7BCF">
      <w:pPr>
        <w:pStyle w:val="Obsah2"/>
        <w:rPr>
          <w:rFonts w:eastAsiaTheme="minorEastAsia" w:cstheme="minorBidi"/>
          <w:smallCaps w:val="0"/>
          <w:noProof/>
          <w:sz w:val="22"/>
          <w:szCs w:val="22"/>
        </w:rPr>
      </w:pPr>
      <w:hyperlink w:anchor="_Toc147739206" w:history="1">
        <w:r w:rsidR="002C14CB" w:rsidRPr="008657F8">
          <w:rPr>
            <w:rStyle w:val="Hypertextovodkaz"/>
            <w:noProof/>
            <w:snapToGrid w:val="0"/>
          </w:rPr>
          <w:t>6.4</w:t>
        </w:r>
        <w:r w:rsidR="002C14CB">
          <w:rPr>
            <w:rFonts w:eastAsiaTheme="minorEastAsia" w:cstheme="minorBidi"/>
            <w:smallCaps w:val="0"/>
            <w:noProof/>
            <w:sz w:val="22"/>
            <w:szCs w:val="22"/>
          </w:rPr>
          <w:tab/>
        </w:r>
        <w:r w:rsidR="002C14CB" w:rsidRPr="008657F8">
          <w:rPr>
            <w:rStyle w:val="Hypertextovodkaz"/>
            <w:noProof/>
            <w:snapToGrid w:val="0"/>
          </w:rPr>
          <w:t>Výrobní tolerance</w:t>
        </w:r>
        <w:r w:rsidR="002C14CB">
          <w:rPr>
            <w:noProof/>
            <w:webHidden/>
          </w:rPr>
          <w:tab/>
        </w:r>
        <w:r>
          <w:rPr>
            <w:noProof/>
            <w:webHidden/>
          </w:rPr>
          <w:fldChar w:fldCharType="begin"/>
        </w:r>
        <w:r w:rsidR="002C14CB">
          <w:rPr>
            <w:noProof/>
            <w:webHidden/>
          </w:rPr>
          <w:instrText xml:space="preserve"> PAGEREF _Toc147739206 \h </w:instrText>
        </w:r>
        <w:r>
          <w:rPr>
            <w:noProof/>
            <w:webHidden/>
          </w:rPr>
        </w:r>
        <w:r>
          <w:rPr>
            <w:noProof/>
            <w:webHidden/>
          </w:rPr>
          <w:fldChar w:fldCharType="separate"/>
        </w:r>
        <w:r w:rsidR="00617532">
          <w:rPr>
            <w:noProof/>
            <w:webHidden/>
          </w:rPr>
          <w:t>13</w:t>
        </w:r>
        <w:r>
          <w:rPr>
            <w:noProof/>
            <w:webHidden/>
          </w:rPr>
          <w:fldChar w:fldCharType="end"/>
        </w:r>
      </w:hyperlink>
    </w:p>
    <w:p w:rsidR="002C14CB" w:rsidRDefault="002E7BCF">
      <w:pPr>
        <w:pStyle w:val="Obsah1"/>
        <w:rPr>
          <w:rFonts w:eastAsiaTheme="minorEastAsia" w:cstheme="minorBidi"/>
          <w:b w:val="0"/>
          <w:bCs w:val="0"/>
          <w:caps w:val="0"/>
          <w:szCs w:val="22"/>
        </w:rPr>
      </w:pPr>
      <w:hyperlink w:anchor="_Toc147739207" w:history="1">
        <w:r w:rsidR="002C14CB" w:rsidRPr="008657F8">
          <w:rPr>
            <w:rStyle w:val="Hypertextovodkaz"/>
          </w:rPr>
          <w:t>7</w:t>
        </w:r>
        <w:r w:rsidR="002C14CB">
          <w:rPr>
            <w:rFonts w:eastAsiaTheme="minorEastAsia" w:cstheme="minorBidi"/>
            <w:b w:val="0"/>
            <w:bCs w:val="0"/>
            <w:caps w:val="0"/>
            <w:szCs w:val="22"/>
          </w:rPr>
          <w:tab/>
        </w:r>
        <w:r w:rsidR="002C14CB" w:rsidRPr="008657F8">
          <w:rPr>
            <w:rStyle w:val="Hypertextovodkaz"/>
          </w:rPr>
          <w:t>požadavky na další stupně PD, průzkumy</w:t>
        </w:r>
        <w:r w:rsidR="002C14CB">
          <w:rPr>
            <w:webHidden/>
          </w:rPr>
          <w:tab/>
        </w:r>
        <w:r>
          <w:rPr>
            <w:webHidden/>
          </w:rPr>
          <w:fldChar w:fldCharType="begin"/>
        </w:r>
        <w:r w:rsidR="002C14CB">
          <w:rPr>
            <w:webHidden/>
          </w:rPr>
          <w:instrText xml:space="preserve"> PAGEREF _Toc147739207 \h </w:instrText>
        </w:r>
        <w:r>
          <w:rPr>
            <w:webHidden/>
          </w:rPr>
        </w:r>
        <w:r>
          <w:rPr>
            <w:webHidden/>
          </w:rPr>
          <w:fldChar w:fldCharType="separate"/>
        </w:r>
        <w:r w:rsidR="00617532">
          <w:rPr>
            <w:webHidden/>
          </w:rPr>
          <w:t>14</w:t>
        </w:r>
        <w:r>
          <w:rPr>
            <w:webHidden/>
          </w:rPr>
          <w:fldChar w:fldCharType="end"/>
        </w:r>
      </w:hyperlink>
    </w:p>
    <w:p w:rsidR="002C14CB" w:rsidRDefault="002E7BCF">
      <w:pPr>
        <w:pStyle w:val="Obsah2"/>
        <w:rPr>
          <w:rFonts w:eastAsiaTheme="minorEastAsia" w:cstheme="minorBidi"/>
          <w:smallCaps w:val="0"/>
          <w:noProof/>
          <w:sz w:val="22"/>
          <w:szCs w:val="22"/>
        </w:rPr>
      </w:pPr>
      <w:hyperlink w:anchor="_Toc147739208" w:history="1">
        <w:r w:rsidR="002C14CB" w:rsidRPr="008657F8">
          <w:rPr>
            <w:rStyle w:val="Hypertextovodkaz"/>
            <w:noProof/>
          </w:rPr>
          <w:t>7.1</w:t>
        </w:r>
        <w:r w:rsidR="002C14CB">
          <w:rPr>
            <w:rFonts w:eastAsiaTheme="minorEastAsia" w:cstheme="minorBidi"/>
            <w:smallCaps w:val="0"/>
            <w:noProof/>
            <w:sz w:val="22"/>
            <w:szCs w:val="22"/>
          </w:rPr>
          <w:tab/>
        </w:r>
        <w:r w:rsidR="002C14CB" w:rsidRPr="008657F8">
          <w:rPr>
            <w:rStyle w:val="Hypertextovodkaz"/>
            <w:noProof/>
          </w:rPr>
          <w:t>Další stupeň PD</w:t>
        </w:r>
        <w:r w:rsidR="002C14CB">
          <w:rPr>
            <w:noProof/>
            <w:webHidden/>
          </w:rPr>
          <w:tab/>
        </w:r>
        <w:r>
          <w:rPr>
            <w:noProof/>
            <w:webHidden/>
          </w:rPr>
          <w:fldChar w:fldCharType="begin"/>
        </w:r>
        <w:r w:rsidR="002C14CB">
          <w:rPr>
            <w:noProof/>
            <w:webHidden/>
          </w:rPr>
          <w:instrText xml:space="preserve"> PAGEREF _Toc147739208 \h </w:instrText>
        </w:r>
        <w:r>
          <w:rPr>
            <w:noProof/>
            <w:webHidden/>
          </w:rPr>
        </w:r>
        <w:r>
          <w:rPr>
            <w:noProof/>
            <w:webHidden/>
          </w:rPr>
          <w:fldChar w:fldCharType="separate"/>
        </w:r>
        <w:r w:rsidR="00617532">
          <w:rPr>
            <w:noProof/>
            <w:webHidden/>
          </w:rPr>
          <w:t>14</w:t>
        </w:r>
        <w:r>
          <w:rPr>
            <w:noProof/>
            <w:webHidden/>
          </w:rPr>
          <w:fldChar w:fldCharType="end"/>
        </w:r>
      </w:hyperlink>
    </w:p>
    <w:p w:rsidR="002C14CB" w:rsidRDefault="002E7BCF">
      <w:pPr>
        <w:pStyle w:val="Obsah2"/>
        <w:rPr>
          <w:rFonts w:eastAsiaTheme="minorEastAsia" w:cstheme="minorBidi"/>
          <w:smallCaps w:val="0"/>
          <w:noProof/>
          <w:sz w:val="22"/>
          <w:szCs w:val="22"/>
        </w:rPr>
      </w:pPr>
      <w:hyperlink w:anchor="_Toc147739209" w:history="1">
        <w:r w:rsidR="002C14CB" w:rsidRPr="008657F8">
          <w:rPr>
            <w:rStyle w:val="Hypertextovodkaz"/>
            <w:noProof/>
          </w:rPr>
          <w:t>7.2</w:t>
        </w:r>
        <w:r w:rsidR="002C14CB">
          <w:rPr>
            <w:rFonts w:eastAsiaTheme="minorEastAsia" w:cstheme="minorBidi"/>
            <w:smallCaps w:val="0"/>
            <w:noProof/>
            <w:sz w:val="22"/>
            <w:szCs w:val="22"/>
          </w:rPr>
          <w:tab/>
        </w:r>
        <w:r w:rsidR="002C14CB" w:rsidRPr="008657F8">
          <w:rPr>
            <w:rStyle w:val="Hypertextovodkaz"/>
            <w:noProof/>
          </w:rPr>
          <w:t>Na kontrolu provádění</w:t>
        </w:r>
        <w:r w:rsidR="002C14CB">
          <w:rPr>
            <w:noProof/>
            <w:webHidden/>
          </w:rPr>
          <w:tab/>
        </w:r>
        <w:r>
          <w:rPr>
            <w:noProof/>
            <w:webHidden/>
          </w:rPr>
          <w:fldChar w:fldCharType="begin"/>
        </w:r>
        <w:r w:rsidR="002C14CB">
          <w:rPr>
            <w:noProof/>
            <w:webHidden/>
          </w:rPr>
          <w:instrText xml:space="preserve"> PAGEREF _Toc147739209 \h </w:instrText>
        </w:r>
        <w:r>
          <w:rPr>
            <w:noProof/>
            <w:webHidden/>
          </w:rPr>
        </w:r>
        <w:r>
          <w:rPr>
            <w:noProof/>
            <w:webHidden/>
          </w:rPr>
          <w:fldChar w:fldCharType="separate"/>
        </w:r>
        <w:r w:rsidR="00617532">
          <w:rPr>
            <w:noProof/>
            <w:webHidden/>
          </w:rPr>
          <w:t>14</w:t>
        </w:r>
        <w:r>
          <w:rPr>
            <w:noProof/>
            <w:webHidden/>
          </w:rPr>
          <w:fldChar w:fldCharType="end"/>
        </w:r>
      </w:hyperlink>
    </w:p>
    <w:p w:rsidR="002C14CB" w:rsidRDefault="002E7BCF">
      <w:pPr>
        <w:pStyle w:val="Obsah2"/>
        <w:rPr>
          <w:rFonts w:eastAsiaTheme="minorEastAsia" w:cstheme="minorBidi"/>
          <w:smallCaps w:val="0"/>
          <w:noProof/>
          <w:sz w:val="22"/>
          <w:szCs w:val="22"/>
        </w:rPr>
      </w:pPr>
      <w:hyperlink w:anchor="_Toc147739210" w:history="1">
        <w:r w:rsidR="002C14CB" w:rsidRPr="008657F8">
          <w:rPr>
            <w:rStyle w:val="Hypertextovodkaz"/>
            <w:noProof/>
          </w:rPr>
          <w:t>7.3</w:t>
        </w:r>
        <w:r w:rsidR="002C14CB">
          <w:rPr>
            <w:rFonts w:eastAsiaTheme="minorEastAsia" w:cstheme="minorBidi"/>
            <w:smallCaps w:val="0"/>
            <w:noProof/>
            <w:sz w:val="22"/>
            <w:szCs w:val="22"/>
          </w:rPr>
          <w:tab/>
        </w:r>
        <w:r w:rsidR="002C14CB" w:rsidRPr="008657F8">
          <w:rPr>
            <w:rStyle w:val="Hypertextovodkaz"/>
            <w:noProof/>
          </w:rPr>
          <w:t>Na PD zpracovanou zhotovitelem</w:t>
        </w:r>
        <w:r w:rsidR="002C14CB">
          <w:rPr>
            <w:noProof/>
            <w:webHidden/>
          </w:rPr>
          <w:tab/>
        </w:r>
        <w:r>
          <w:rPr>
            <w:noProof/>
            <w:webHidden/>
          </w:rPr>
          <w:fldChar w:fldCharType="begin"/>
        </w:r>
        <w:r w:rsidR="002C14CB">
          <w:rPr>
            <w:noProof/>
            <w:webHidden/>
          </w:rPr>
          <w:instrText xml:space="preserve"> PAGEREF _Toc147739210 \h </w:instrText>
        </w:r>
        <w:r>
          <w:rPr>
            <w:noProof/>
            <w:webHidden/>
          </w:rPr>
        </w:r>
        <w:r>
          <w:rPr>
            <w:noProof/>
            <w:webHidden/>
          </w:rPr>
          <w:fldChar w:fldCharType="separate"/>
        </w:r>
        <w:r w:rsidR="00617532">
          <w:rPr>
            <w:noProof/>
            <w:webHidden/>
          </w:rPr>
          <w:t>14</w:t>
        </w:r>
        <w:r>
          <w:rPr>
            <w:noProof/>
            <w:webHidden/>
          </w:rPr>
          <w:fldChar w:fldCharType="end"/>
        </w:r>
      </w:hyperlink>
    </w:p>
    <w:p w:rsidR="002C14CB" w:rsidRDefault="002E7BCF">
      <w:pPr>
        <w:pStyle w:val="Obsah2"/>
        <w:rPr>
          <w:rFonts w:eastAsiaTheme="minorEastAsia" w:cstheme="minorBidi"/>
          <w:smallCaps w:val="0"/>
          <w:noProof/>
          <w:sz w:val="22"/>
          <w:szCs w:val="22"/>
        </w:rPr>
      </w:pPr>
      <w:hyperlink w:anchor="_Toc147739211" w:history="1">
        <w:r w:rsidR="002C14CB" w:rsidRPr="008657F8">
          <w:rPr>
            <w:rStyle w:val="Hypertextovodkaz"/>
            <w:noProof/>
          </w:rPr>
          <w:t>7.4</w:t>
        </w:r>
        <w:r w:rsidR="002C14CB">
          <w:rPr>
            <w:rFonts w:eastAsiaTheme="minorEastAsia" w:cstheme="minorBidi"/>
            <w:smallCaps w:val="0"/>
            <w:noProof/>
            <w:sz w:val="22"/>
            <w:szCs w:val="22"/>
          </w:rPr>
          <w:tab/>
        </w:r>
        <w:r w:rsidR="002C14CB" w:rsidRPr="008657F8">
          <w:rPr>
            <w:rStyle w:val="Hypertextovodkaz"/>
            <w:noProof/>
          </w:rPr>
          <w:t>Na doplnění průzkumů</w:t>
        </w:r>
        <w:r w:rsidR="002C14CB">
          <w:rPr>
            <w:noProof/>
            <w:webHidden/>
          </w:rPr>
          <w:tab/>
        </w:r>
        <w:r>
          <w:rPr>
            <w:noProof/>
            <w:webHidden/>
          </w:rPr>
          <w:fldChar w:fldCharType="begin"/>
        </w:r>
        <w:r w:rsidR="002C14CB">
          <w:rPr>
            <w:noProof/>
            <w:webHidden/>
          </w:rPr>
          <w:instrText xml:space="preserve"> PAGEREF _Toc147739211 \h </w:instrText>
        </w:r>
        <w:r>
          <w:rPr>
            <w:noProof/>
            <w:webHidden/>
          </w:rPr>
        </w:r>
        <w:r>
          <w:rPr>
            <w:noProof/>
            <w:webHidden/>
          </w:rPr>
          <w:fldChar w:fldCharType="separate"/>
        </w:r>
        <w:r w:rsidR="00617532">
          <w:rPr>
            <w:noProof/>
            <w:webHidden/>
          </w:rPr>
          <w:t>15</w:t>
        </w:r>
        <w:r>
          <w:rPr>
            <w:noProof/>
            <w:webHidden/>
          </w:rPr>
          <w:fldChar w:fldCharType="end"/>
        </w:r>
      </w:hyperlink>
    </w:p>
    <w:p w:rsidR="002C14CB" w:rsidRDefault="002E7BCF">
      <w:pPr>
        <w:pStyle w:val="Obsah2"/>
        <w:rPr>
          <w:rFonts w:eastAsiaTheme="minorEastAsia" w:cstheme="minorBidi"/>
          <w:smallCaps w:val="0"/>
          <w:noProof/>
          <w:sz w:val="22"/>
          <w:szCs w:val="22"/>
        </w:rPr>
      </w:pPr>
      <w:hyperlink w:anchor="_Toc147739212" w:history="1">
        <w:r w:rsidR="002C14CB" w:rsidRPr="008657F8">
          <w:rPr>
            <w:rStyle w:val="Hypertextovodkaz"/>
            <w:noProof/>
          </w:rPr>
          <w:t>7.5</w:t>
        </w:r>
        <w:r w:rsidR="002C14CB">
          <w:rPr>
            <w:rFonts w:eastAsiaTheme="minorEastAsia" w:cstheme="minorBidi"/>
            <w:smallCaps w:val="0"/>
            <w:noProof/>
            <w:sz w:val="22"/>
            <w:szCs w:val="22"/>
          </w:rPr>
          <w:tab/>
        </w:r>
        <w:r w:rsidR="002C14CB" w:rsidRPr="008657F8">
          <w:rPr>
            <w:rStyle w:val="Hypertextovodkaz"/>
            <w:noProof/>
          </w:rPr>
          <w:t>Požadavky na protipožární ochranu</w:t>
        </w:r>
        <w:r w:rsidR="002C14CB">
          <w:rPr>
            <w:noProof/>
            <w:webHidden/>
          </w:rPr>
          <w:tab/>
        </w:r>
        <w:r>
          <w:rPr>
            <w:noProof/>
            <w:webHidden/>
          </w:rPr>
          <w:fldChar w:fldCharType="begin"/>
        </w:r>
        <w:r w:rsidR="002C14CB">
          <w:rPr>
            <w:noProof/>
            <w:webHidden/>
          </w:rPr>
          <w:instrText xml:space="preserve"> PAGEREF _Toc147739212 \h </w:instrText>
        </w:r>
        <w:r>
          <w:rPr>
            <w:noProof/>
            <w:webHidden/>
          </w:rPr>
        </w:r>
        <w:r>
          <w:rPr>
            <w:noProof/>
            <w:webHidden/>
          </w:rPr>
          <w:fldChar w:fldCharType="separate"/>
        </w:r>
        <w:r w:rsidR="00617532">
          <w:rPr>
            <w:noProof/>
            <w:webHidden/>
          </w:rPr>
          <w:t>15</w:t>
        </w:r>
        <w:r>
          <w:rPr>
            <w:noProof/>
            <w:webHidden/>
          </w:rPr>
          <w:fldChar w:fldCharType="end"/>
        </w:r>
      </w:hyperlink>
    </w:p>
    <w:p w:rsidR="002C14CB" w:rsidRDefault="002E7BCF">
      <w:pPr>
        <w:pStyle w:val="Obsah1"/>
        <w:rPr>
          <w:rFonts w:eastAsiaTheme="minorEastAsia" w:cstheme="minorBidi"/>
          <w:b w:val="0"/>
          <w:bCs w:val="0"/>
          <w:caps w:val="0"/>
          <w:szCs w:val="22"/>
        </w:rPr>
      </w:pPr>
      <w:hyperlink w:anchor="_Toc147739213" w:history="1">
        <w:r w:rsidR="002C14CB" w:rsidRPr="008657F8">
          <w:rPr>
            <w:rStyle w:val="Hypertextovodkaz"/>
          </w:rPr>
          <w:t>8</w:t>
        </w:r>
        <w:r w:rsidR="002C14CB">
          <w:rPr>
            <w:rFonts w:eastAsiaTheme="minorEastAsia" w:cstheme="minorBidi"/>
            <w:b w:val="0"/>
            <w:bCs w:val="0"/>
            <w:caps w:val="0"/>
            <w:szCs w:val="22"/>
          </w:rPr>
          <w:tab/>
        </w:r>
        <w:r w:rsidR="002C14CB" w:rsidRPr="008657F8">
          <w:rPr>
            <w:rStyle w:val="Hypertextovodkaz"/>
          </w:rPr>
          <w:t>Návrhová životnost</w:t>
        </w:r>
        <w:r w:rsidR="002C14CB">
          <w:rPr>
            <w:webHidden/>
          </w:rPr>
          <w:tab/>
        </w:r>
        <w:r>
          <w:rPr>
            <w:webHidden/>
          </w:rPr>
          <w:fldChar w:fldCharType="begin"/>
        </w:r>
        <w:r w:rsidR="002C14CB">
          <w:rPr>
            <w:webHidden/>
          </w:rPr>
          <w:instrText xml:space="preserve"> PAGEREF _Toc147739213 \h </w:instrText>
        </w:r>
        <w:r>
          <w:rPr>
            <w:webHidden/>
          </w:rPr>
        </w:r>
        <w:r>
          <w:rPr>
            <w:webHidden/>
          </w:rPr>
          <w:fldChar w:fldCharType="separate"/>
        </w:r>
        <w:r w:rsidR="00617532">
          <w:rPr>
            <w:webHidden/>
          </w:rPr>
          <w:t>15</w:t>
        </w:r>
        <w:r>
          <w:rPr>
            <w:webHidden/>
          </w:rPr>
          <w:fldChar w:fldCharType="end"/>
        </w:r>
      </w:hyperlink>
    </w:p>
    <w:p w:rsidR="002C14CB" w:rsidRDefault="002E7BCF">
      <w:pPr>
        <w:pStyle w:val="Obsah1"/>
        <w:rPr>
          <w:rFonts w:eastAsiaTheme="minorEastAsia" w:cstheme="minorBidi"/>
          <w:b w:val="0"/>
          <w:bCs w:val="0"/>
          <w:caps w:val="0"/>
          <w:szCs w:val="22"/>
        </w:rPr>
      </w:pPr>
      <w:hyperlink w:anchor="_Toc147739214" w:history="1">
        <w:r w:rsidR="002C14CB" w:rsidRPr="008657F8">
          <w:rPr>
            <w:rStyle w:val="Hypertextovodkaz"/>
          </w:rPr>
          <w:t>9</w:t>
        </w:r>
        <w:r w:rsidR="002C14CB">
          <w:rPr>
            <w:rFonts w:eastAsiaTheme="minorEastAsia" w:cstheme="minorBidi"/>
            <w:b w:val="0"/>
            <w:bCs w:val="0"/>
            <w:caps w:val="0"/>
            <w:szCs w:val="22"/>
          </w:rPr>
          <w:tab/>
        </w:r>
        <w:r w:rsidR="002C14CB" w:rsidRPr="008657F8">
          <w:rPr>
            <w:rStyle w:val="Hypertextovodkaz"/>
          </w:rPr>
          <w:t>podklady</w:t>
        </w:r>
        <w:r w:rsidR="002C14CB">
          <w:rPr>
            <w:webHidden/>
          </w:rPr>
          <w:tab/>
        </w:r>
        <w:r>
          <w:rPr>
            <w:webHidden/>
          </w:rPr>
          <w:fldChar w:fldCharType="begin"/>
        </w:r>
        <w:r w:rsidR="002C14CB">
          <w:rPr>
            <w:webHidden/>
          </w:rPr>
          <w:instrText xml:space="preserve"> PAGEREF _Toc147739214 \h </w:instrText>
        </w:r>
        <w:r>
          <w:rPr>
            <w:webHidden/>
          </w:rPr>
        </w:r>
        <w:r>
          <w:rPr>
            <w:webHidden/>
          </w:rPr>
          <w:fldChar w:fldCharType="separate"/>
        </w:r>
        <w:r w:rsidR="00617532">
          <w:rPr>
            <w:webHidden/>
          </w:rPr>
          <w:t>16</w:t>
        </w:r>
        <w:r>
          <w:rPr>
            <w:webHidden/>
          </w:rPr>
          <w:fldChar w:fldCharType="end"/>
        </w:r>
      </w:hyperlink>
    </w:p>
    <w:p w:rsidR="002C14CB" w:rsidRDefault="002E7BCF">
      <w:pPr>
        <w:pStyle w:val="Obsah1"/>
        <w:rPr>
          <w:rFonts w:eastAsiaTheme="minorEastAsia" w:cstheme="minorBidi"/>
          <w:b w:val="0"/>
          <w:bCs w:val="0"/>
          <w:caps w:val="0"/>
          <w:szCs w:val="22"/>
        </w:rPr>
      </w:pPr>
      <w:hyperlink w:anchor="_Toc147739215" w:history="1">
        <w:r w:rsidR="002C14CB" w:rsidRPr="008657F8">
          <w:rPr>
            <w:rStyle w:val="Hypertextovodkaz"/>
          </w:rPr>
          <w:t>10</w:t>
        </w:r>
        <w:r w:rsidR="002C14CB">
          <w:rPr>
            <w:rFonts w:eastAsiaTheme="minorEastAsia" w:cstheme="minorBidi"/>
            <w:b w:val="0"/>
            <w:bCs w:val="0"/>
            <w:caps w:val="0"/>
            <w:szCs w:val="22"/>
          </w:rPr>
          <w:tab/>
        </w:r>
        <w:r w:rsidR="002C14CB" w:rsidRPr="008657F8">
          <w:rPr>
            <w:rStyle w:val="Hypertextovodkaz"/>
          </w:rPr>
          <w:t>Závěr</w:t>
        </w:r>
        <w:r w:rsidR="002C14CB">
          <w:rPr>
            <w:webHidden/>
          </w:rPr>
          <w:tab/>
        </w:r>
        <w:r>
          <w:rPr>
            <w:webHidden/>
          </w:rPr>
          <w:fldChar w:fldCharType="begin"/>
        </w:r>
        <w:r w:rsidR="002C14CB">
          <w:rPr>
            <w:webHidden/>
          </w:rPr>
          <w:instrText xml:space="preserve"> PAGEREF _Toc147739215 \h </w:instrText>
        </w:r>
        <w:r>
          <w:rPr>
            <w:webHidden/>
          </w:rPr>
        </w:r>
        <w:r>
          <w:rPr>
            <w:webHidden/>
          </w:rPr>
          <w:fldChar w:fldCharType="separate"/>
        </w:r>
        <w:r w:rsidR="00617532">
          <w:rPr>
            <w:webHidden/>
          </w:rPr>
          <w:t>16</w:t>
        </w:r>
        <w:r>
          <w:rPr>
            <w:webHidden/>
          </w:rPr>
          <w:fldChar w:fldCharType="end"/>
        </w:r>
      </w:hyperlink>
    </w:p>
    <w:p w:rsidR="00157186" w:rsidRDefault="002E7BCF" w:rsidP="00157186">
      <w:r>
        <w:fldChar w:fldCharType="end"/>
      </w:r>
    </w:p>
    <w:p w:rsidR="00157186" w:rsidRDefault="00157186">
      <w:pPr>
        <w:spacing w:after="200" w:line="276" w:lineRule="auto"/>
        <w:jc w:val="left"/>
      </w:pPr>
      <w:r>
        <w:br w:type="page"/>
      </w:r>
    </w:p>
    <w:p w:rsidR="00167255" w:rsidRPr="00DD4B62" w:rsidRDefault="00C90A37" w:rsidP="005728DE">
      <w:pPr>
        <w:pStyle w:val="Nadpis1"/>
        <w:spacing w:before="0"/>
      </w:pPr>
      <w:bookmarkStart w:id="0" w:name="_Toc147739188"/>
      <w:r w:rsidRPr="00DD4B62">
        <w:lastRenderedPageBreak/>
        <w:t>I</w:t>
      </w:r>
      <w:r w:rsidR="00167255" w:rsidRPr="00DD4B62">
        <w:t>dentifikační údaje</w:t>
      </w:r>
      <w:bookmarkEnd w:id="0"/>
    </w:p>
    <w:p w:rsidR="00D40CF7" w:rsidRPr="00DD4B62" w:rsidRDefault="00D40CF7" w:rsidP="00D40CF7">
      <w:pPr>
        <w:ind w:left="2124" w:hanging="2124"/>
      </w:pPr>
      <w:r w:rsidRPr="00DD4B62">
        <w:rPr>
          <w:i/>
        </w:rPr>
        <w:t>Akce:</w:t>
      </w:r>
      <w:r w:rsidRPr="00DD4B62">
        <w:rPr>
          <w:i/>
        </w:rPr>
        <w:tab/>
      </w:r>
      <w:r w:rsidR="008D2A80">
        <w:rPr>
          <w:rFonts w:cstheme="minorHAnsi"/>
        </w:rPr>
        <w:t>VÝSTAVBA CHRÁNĚNÉHO BYDLENÍ V NOVÉ PACE</w:t>
      </w:r>
    </w:p>
    <w:p w:rsidR="00D40CF7" w:rsidRDefault="00D40CF7" w:rsidP="00D40CF7">
      <w:pPr>
        <w:ind w:left="2124" w:hanging="2124"/>
      </w:pPr>
      <w:r w:rsidRPr="00DD4B62">
        <w:rPr>
          <w:i/>
        </w:rPr>
        <w:t>Místo stavby:</w:t>
      </w:r>
      <w:r w:rsidRPr="00DD4B62">
        <w:rPr>
          <w:i/>
        </w:rPr>
        <w:tab/>
      </w:r>
      <w:r w:rsidR="008D2A80">
        <w:t xml:space="preserve">parc. č. 3276/3, 3276/15, 3271/3, k. ú. Nová Paka </w:t>
      </w:r>
    </w:p>
    <w:p w:rsidR="00EE40C1" w:rsidRPr="00DD4B62" w:rsidRDefault="00EE40C1" w:rsidP="00D40CF7">
      <w:pPr>
        <w:ind w:left="2124" w:hanging="2124"/>
      </w:pPr>
    </w:p>
    <w:p w:rsidR="00B222D1" w:rsidRPr="00DD4B62" w:rsidRDefault="00D40CF7" w:rsidP="00D40CF7">
      <w:pPr>
        <w:ind w:left="2124" w:hanging="2124"/>
        <w:rPr>
          <w:rFonts w:cstheme="minorHAnsi"/>
        </w:rPr>
      </w:pPr>
      <w:r w:rsidRPr="00DD4B62">
        <w:rPr>
          <w:i/>
        </w:rPr>
        <w:t>Investor:</w:t>
      </w:r>
      <w:r w:rsidRPr="00DD4B62">
        <w:rPr>
          <w:i/>
        </w:rPr>
        <w:tab/>
      </w:r>
      <w:r w:rsidR="008D2A80">
        <w:rPr>
          <w:rFonts w:cstheme="minorHAnsi"/>
        </w:rPr>
        <w:t>KRÁLOVÉHRADECKÝ KRAJ</w:t>
      </w:r>
      <w:r w:rsidR="00525355">
        <w:rPr>
          <w:rFonts w:cstheme="minorHAnsi"/>
        </w:rPr>
        <w:tab/>
      </w:r>
    </w:p>
    <w:p w:rsidR="003460D3" w:rsidRDefault="008D2A80" w:rsidP="003460D3">
      <w:pPr>
        <w:ind w:left="2124"/>
      </w:pPr>
      <w:r>
        <w:t>Se sídlem Pivovarské náměstí 1245, 500 03 Hradec Králové</w:t>
      </w:r>
    </w:p>
    <w:p w:rsidR="00EE40C1" w:rsidRPr="00DD4B62" w:rsidRDefault="00EE40C1" w:rsidP="00B222D1">
      <w:pPr>
        <w:ind w:left="2124"/>
      </w:pPr>
    </w:p>
    <w:p w:rsidR="008D2A80" w:rsidRPr="008D2A80" w:rsidRDefault="00D40CF7" w:rsidP="008D2A80">
      <w:pPr>
        <w:pStyle w:val="Prosttext"/>
        <w:spacing w:line="360" w:lineRule="auto"/>
        <w:rPr>
          <w:rFonts w:asciiTheme="minorHAnsi" w:hAnsiTheme="minorHAnsi" w:cstheme="minorHAnsi"/>
        </w:rPr>
      </w:pPr>
      <w:r w:rsidRPr="000104F2">
        <w:rPr>
          <w:rFonts w:asciiTheme="minorHAnsi" w:hAnsiTheme="minorHAnsi" w:cstheme="minorHAnsi"/>
          <w:i/>
          <w:sz w:val="22"/>
        </w:rPr>
        <w:t>Stavební část PD</w:t>
      </w:r>
      <w:r w:rsidRPr="000104F2">
        <w:rPr>
          <w:rFonts w:asciiTheme="minorHAnsi" w:hAnsiTheme="minorHAnsi" w:cstheme="minorHAnsi"/>
          <w:sz w:val="22"/>
        </w:rPr>
        <w:t>:</w:t>
      </w:r>
      <w:r w:rsidRPr="00DD4B62">
        <w:tab/>
      </w:r>
      <w:r w:rsidR="008D2A80" w:rsidRPr="008D2A80">
        <w:rPr>
          <w:rFonts w:asciiTheme="minorHAnsi" w:hAnsiTheme="minorHAnsi" w:cstheme="minorHAnsi"/>
          <w:sz w:val="22"/>
        </w:rPr>
        <w:t>Růžička a partneři s.r.o.</w:t>
      </w:r>
    </w:p>
    <w:p w:rsidR="008C4B9B" w:rsidRDefault="008C4B9B" w:rsidP="00D40CF7">
      <w:r w:rsidRPr="00DD4B62">
        <w:tab/>
      </w:r>
      <w:r w:rsidRPr="00DD4B62">
        <w:tab/>
      </w:r>
      <w:r w:rsidRPr="00DD4B62">
        <w:tab/>
      </w:r>
      <w:r w:rsidR="008D2A80">
        <w:t>Schöfflerova 32/2050, 130 00 Praha 3</w:t>
      </w:r>
    </w:p>
    <w:p w:rsidR="003460D3" w:rsidRDefault="003460D3" w:rsidP="00D40CF7">
      <w:r>
        <w:tab/>
      </w:r>
      <w:r>
        <w:tab/>
      </w:r>
      <w:r>
        <w:tab/>
        <w:t xml:space="preserve">Zodpovědný projektant: Ing. </w:t>
      </w:r>
      <w:r w:rsidR="008D2A80">
        <w:t>Tomáš Růžička</w:t>
      </w:r>
    </w:p>
    <w:p w:rsidR="003460D3" w:rsidRDefault="003460D3" w:rsidP="00D40CF7">
      <w:r>
        <w:tab/>
      </w:r>
      <w:r>
        <w:tab/>
      </w:r>
      <w:r>
        <w:tab/>
        <w:t xml:space="preserve">Vypracoval: Ing. </w:t>
      </w:r>
      <w:r w:rsidR="0078781F">
        <w:t>Ondřej Šefrna</w:t>
      </w:r>
    </w:p>
    <w:p w:rsidR="003460D3" w:rsidRDefault="003460D3" w:rsidP="00D40CF7"/>
    <w:p w:rsidR="003460D3" w:rsidRDefault="003460D3" w:rsidP="00D40CF7">
      <w:r w:rsidRPr="003460D3">
        <w:rPr>
          <w:i/>
        </w:rPr>
        <w:t>Konstrukční část:</w:t>
      </w:r>
      <w:r>
        <w:rPr>
          <w:i/>
        </w:rPr>
        <w:tab/>
      </w:r>
      <w:r>
        <w:t>První statická s.r.o.</w:t>
      </w:r>
    </w:p>
    <w:p w:rsidR="003460D3" w:rsidRDefault="003460D3" w:rsidP="00D40CF7">
      <w:r>
        <w:tab/>
      </w:r>
      <w:r>
        <w:tab/>
      </w:r>
      <w:r>
        <w:tab/>
        <w:t>Boleslavova 27/36, 140 00, Praha 4 - Nusle</w:t>
      </w:r>
    </w:p>
    <w:p w:rsidR="003460D3" w:rsidRDefault="003460D3" w:rsidP="00D40CF7">
      <w:r>
        <w:tab/>
      </w:r>
      <w:r>
        <w:tab/>
      </w:r>
      <w:r>
        <w:tab/>
      </w:r>
    </w:p>
    <w:p w:rsidR="003460D3" w:rsidRDefault="003460D3" w:rsidP="003460D3">
      <w:pPr>
        <w:ind w:left="1416" w:firstLine="708"/>
      </w:pPr>
      <w:r>
        <w:t>Zodpovědný projektant: Ing. Radek Šťastný Ph.D.</w:t>
      </w:r>
    </w:p>
    <w:p w:rsidR="003460D3" w:rsidRDefault="003460D3" w:rsidP="00D40CF7">
      <w:r>
        <w:tab/>
      </w:r>
      <w:r>
        <w:tab/>
      </w:r>
      <w:r>
        <w:tab/>
        <w:t>Vypracoval: Ing. Michal Vích</w:t>
      </w:r>
    </w:p>
    <w:p w:rsidR="0005767C" w:rsidRDefault="0005767C" w:rsidP="00D40CF7"/>
    <w:p w:rsidR="0005767C" w:rsidRPr="00CA01C9" w:rsidRDefault="0005767C" w:rsidP="0005767C">
      <w:r w:rsidRPr="00CA01C9">
        <w:rPr>
          <w:i/>
        </w:rPr>
        <w:t>Část PD:</w:t>
      </w:r>
      <w:r>
        <w:rPr>
          <w:i/>
        </w:rPr>
        <w:tab/>
      </w:r>
      <w:r>
        <w:rPr>
          <w:i/>
        </w:rPr>
        <w:tab/>
      </w:r>
      <w:r>
        <w:t>SO 01</w:t>
      </w:r>
      <w:r w:rsidRPr="00CA01C9">
        <w:t xml:space="preserve"> –</w:t>
      </w:r>
      <w:r>
        <w:t xml:space="preserve"> Chráněné bydlení</w:t>
      </w:r>
    </w:p>
    <w:p w:rsidR="0005767C" w:rsidRPr="00CA01C9" w:rsidRDefault="0005767C" w:rsidP="0005767C">
      <w:r w:rsidRPr="00CA01C9">
        <w:tab/>
      </w:r>
      <w:r w:rsidRPr="00CA01C9">
        <w:tab/>
      </w:r>
      <w:r w:rsidRPr="00CA01C9">
        <w:tab/>
      </w:r>
      <w:r>
        <w:t>D.1</w:t>
      </w:r>
      <w:r w:rsidRPr="00CA01C9">
        <w:t>.2</w:t>
      </w:r>
      <w:r>
        <w:t xml:space="preserve"> –</w:t>
      </w:r>
      <w:r w:rsidRPr="00CA01C9">
        <w:t xml:space="preserve"> </w:t>
      </w:r>
      <w:r>
        <w:t>Stavebně-konstrukční řešení</w:t>
      </w:r>
    </w:p>
    <w:p w:rsidR="00EE40C1" w:rsidRPr="00DD4B62" w:rsidRDefault="00EE40C1" w:rsidP="00D40CF7"/>
    <w:p w:rsidR="00D40CF7" w:rsidRPr="00DD4B62" w:rsidRDefault="00D40CF7" w:rsidP="00D40CF7">
      <w:r w:rsidRPr="00DD4B62">
        <w:rPr>
          <w:i/>
        </w:rPr>
        <w:t>Stupeň:</w:t>
      </w:r>
      <w:r w:rsidR="004127DE" w:rsidRPr="00DD4B62">
        <w:tab/>
      </w:r>
      <w:r w:rsidR="004127DE" w:rsidRPr="00DD4B62">
        <w:tab/>
      </w:r>
      <w:r w:rsidR="004127DE" w:rsidRPr="00DD4B62">
        <w:tab/>
      </w:r>
      <w:r w:rsidR="00C81278" w:rsidRPr="00DD4B62">
        <w:t xml:space="preserve">Projekt pro </w:t>
      </w:r>
      <w:r w:rsidR="00FD3993">
        <w:t>provedení stavby</w:t>
      </w:r>
    </w:p>
    <w:p w:rsidR="00CC1906" w:rsidRPr="00DD4B62" w:rsidRDefault="00CC1906" w:rsidP="00167255"/>
    <w:p w:rsidR="00836628" w:rsidRPr="00DD4B62" w:rsidRDefault="00836628" w:rsidP="00C90A37"/>
    <w:p w:rsidR="004F7CA3" w:rsidRDefault="004F7CA3" w:rsidP="004F7CA3">
      <w:pPr>
        <w:rPr>
          <w:rFonts w:eastAsia="Calibri"/>
        </w:rPr>
      </w:pPr>
      <w:r>
        <w:rPr>
          <w:rFonts w:eastAsia="Calibri"/>
        </w:rPr>
        <w:t xml:space="preserve">Předmětem statické části je návrh a posouzení nových staveb rodinných domů. Jedná se o čtyři objekty, které mají totožný půdorysný tvar konstrukce. Všechny objekty mají navržený identický koncept nosných konstrukcí, mění se pouze rozložení vnitřních nenosných příček potažmo ztužujících stěn. Rozdílný bude také rozsah spodní stavby resp. hloubky založení v závislosti na mocnosti navážek v dané části pozemku a návaznosti na návrh založení opěrných stěn či založení původního objektu. Statická část se zabývá návrhem dimenzí příhradových vazníků střechy, nadpraží nad otvory ve fasádě, překladů, podlahové desky a základových pasů. Dále byla řešena tuhost objektu na účinky větru a možnost vykonzolování venkovních stříšek. </w:t>
      </w:r>
    </w:p>
    <w:p w:rsidR="004F7CA3" w:rsidRDefault="004F7CA3" w:rsidP="004F7CA3">
      <w:pPr>
        <w:jc w:val="left"/>
        <w:rPr>
          <w:rFonts w:eastAsia="Calibri"/>
        </w:rPr>
      </w:pPr>
      <w:r>
        <w:rPr>
          <w:rFonts w:eastAsia="Calibri"/>
        </w:rPr>
        <w:br w:type="page"/>
      </w:r>
    </w:p>
    <w:p w:rsidR="00167255" w:rsidRPr="00DD4B62" w:rsidRDefault="00167255" w:rsidP="00973E6C">
      <w:pPr>
        <w:pStyle w:val="Nadpis1"/>
      </w:pPr>
      <w:bookmarkStart w:id="1" w:name="_Toc147739189"/>
      <w:r w:rsidRPr="00DD4B62">
        <w:lastRenderedPageBreak/>
        <w:t>popis konstrukčního systému</w:t>
      </w:r>
      <w:bookmarkEnd w:id="1"/>
    </w:p>
    <w:p w:rsidR="00F11A00" w:rsidRPr="00C66D78" w:rsidRDefault="000D4C42" w:rsidP="002B119D">
      <w:pPr>
        <w:rPr>
          <w:rFonts w:eastAsia="Calibri"/>
        </w:rPr>
      </w:pPr>
      <w:r w:rsidRPr="00C66D78">
        <w:rPr>
          <w:rFonts w:eastAsia="Calibri"/>
        </w:rPr>
        <w:t>Půdo</w:t>
      </w:r>
      <w:r w:rsidR="00F11A00" w:rsidRPr="00C66D78">
        <w:rPr>
          <w:rFonts w:eastAsia="Calibri"/>
        </w:rPr>
        <w:t xml:space="preserve">rysný tvar </w:t>
      </w:r>
      <w:r w:rsidR="00107888">
        <w:rPr>
          <w:rFonts w:eastAsia="Calibri"/>
        </w:rPr>
        <w:t xml:space="preserve">rodinných domů je téměř </w:t>
      </w:r>
      <w:r w:rsidR="00F11A00" w:rsidRPr="00C66D78">
        <w:rPr>
          <w:rFonts w:eastAsia="Calibri"/>
        </w:rPr>
        <w:t>obdélníkový</w:t>
      </w:r>
      <w:r w:rsidRPr="00C66D78">
        <w:rPr>
          <w:rFonts w:eastAsia="Calibri"/>
        </w:rPr>
        <w:t xml:space="preserve"> s rozměry </w:t>
      </w:r>
      <w:r w:rsidR="00107888">
        <w:rPr>
          <w:rFonts w:eastAsia="Calibri"/>
        </w:rPr>
        <w:t>cca 10,0 x 16</w:t>
      </w:r>
      <w:r w:rsidR="00C66D78" w:rsidRPr="00C66D78">
        <w:rPr>
          <w:rFonts w:eastAsia="Calibri"/>
        </w:rPr>
        <w:t>,0</w:t>
      </w:r>
      <w:r w:rsidRPr="00C66D78">
        <w:rPr>
          <w:rFonts w:eastAsia="Calibri"/>
        </w:rPr>
        <w:t xml:space="preserve">. </w:t>
      </w:r>
      <w:r w:rsidR="00F11A00" w:rsidRPr="00C66D78">
        <w:rPr>
          <w:rFonts w:eastAsia="Calibri"/>
        </w:rPr>
        <w:t>Objekt</w:t>
      </w:r>
      <w:r w:rsidR="00220A40">
        <w:rPr>
          <w:rFonts w:eastAsia="Calibri"/>
        </w:rPr>
        <w:t>y</w:t>
      </w:r>
      <w:r w:rsidR="00F11A00" w:rsidRPr="00C66D78">
        <w:rPr>
          <w:rFonts w:eastAsia="Calibri"/>
        </w:rPr>
        <w:t xml:space="preserve"> </w:t>
      </w:r>
      <w:r w:rsidR="00220A40">
        <w:rPr>
          <w:rFonts w:eastAsia="Calibri"/>
        </w:rPr>
        <w:t xml:space="preserve">jsou přízemní, </w:t>
      </w:r>
      <w:r w:rsidR="00F11A00" w:rsidRPr="00C66D78">
        <w:rPr>
          <w:rFonts w:eastAsia="Calibri"/>
        </w:rPr>
        <w:t>j</w:t>
      </w:r>
      <w:r w:rsidR="00220A40">
        <w:rPr>
          <w:rFonts w:eastAsia="Calibri"/>
        </w:rPr>
        <w:t>sou zděné</w:t>
      </w:r>
      <w:r w:rsidR="00F11A00" w:rsidRPr="00C66D78">
        <w:rPr>
          <w:rFonts w:eastAsia="Calibri"/>
        </w:rPr>
        <w:t xml:space="preserve"> </w:t>
      </w:r>
      <w:r w:rsidR="00107888">
        <w:rPr>
          <w:rFonts w:eastAsia="Calibri"/>
        </w:rPr>
        <w:t>a </w:t>
      </w:r>
      <w:r w:rsidR="000104F2">
        <w:rPr>
          <w:rFonts w:eastAsia="Calibri"/>
        </w:rPr>
        <w:t>mají sedlovou střechu</w:t>
      </w:r>
      <w:r w:rsidR="00220A40">
        <w:rPr>
          <w:rFonts w:eastAsia="Calibri"/>
        </w:rPr>
        <w:t xml:space="preserve"> tvořenou</w:t>
      </w:r>
      <w:r w:rsidR="00107888">
        <w:rPr>
          <w:rFonts w:eastAsia="Calibri"/>
        </w:rPr>
        <w:t xml:space="preserve"> dřevěnými</w:t>
      </w:r>
      <w:r w:rsidR="000104F2">
        <w:rPr>
          <w:rFonts w:eastAsia="Calibri"/>
        </w:rPr>
        <w:t xml:space="preserve"> příhradovými</w:t>
      </w:r>
      <w:r w:rsidR="00107888">
        <w:rPr>
          <w:rFonts w:eastAsia="Calibri"/>
        </w:rPr>
        <w:t xml:space="preserve"> vazníky pnutými na celou šířku objektu</w:t>
      </w:r>
      <w:r w:rsidR="00F11A00" w:rsidRPr="00C66D78">
        <w:rPr>
          <w:rFonts w:eastAsia="Calibri"/>
        </w:rPr>
        <w:t xml:space="preserve">. </w:t>
      </w:r>
      <w:r w:rsidR="00107888">
        <w:rPr>
          <w:rFonts w:eastAsia="Calibri"/>
        </w:rPr>
        <w:t xml:space="preserve">Dřevěné vazníky budou navrženy jako pohledové se skrytými styčníkovými plechy. Objekt je založen na </w:t>
      </w:r>
      <w:r w:rsidR="001A0F02">
        <w:rPr>
          <w:rFonts w:eastAsia="Calibri"/>
        </w:rPr>
        <w:t xml:space="preserve">základových </w:t>
      </w:r>
      <w:r w:rsidR="00220A40">
        <w:rPr>
          <w:rFonts w:eastAsia="Calibri"/>
        </w:rPr>
        <w:t>pasech</w:t>
      </w:r>
      <w:r w:rsidR="00107888">
        <w:rPr>
          <w:rFonts w:eastAsia="Calibri"/>
        </w:rPr>
        <w:t xml:space="preserve">, z důvodu navážek v úrovni založení, </w:t>
      </w:r>
      <w:r w:rsidR="00220A40">
        <w:rPr>
          <w:rFonts w:eastAsia="Calibri"/>
        </w:rPr>
        <w:t xml:space="preserve">bude podlahová deska </w:t>
      </w:r>
      <w:r w:rsidR="00107888">
        <w:rPr>
          <w:rFonts w:eastAsia="Calibri"/>
        </w:rPr>
        <w:t>koncipována jako stropní deska na podporách.</w:t>
      </w:r>
      <w:r w:rsidR="001A0F02">
        <w:rPr>
          <w:rFonts w:eastAsia="Calibri"/>
        </w:rPr>
        <w:t xml:space="preserve"> Prostorová tuhost je zajištěna vnitřními stěnami v podélném i příčném směru, které jsou ve zhlaví provázány s obvodovým věncem. Na podélných s</w:t>
      </w:r>
      <w:r w:rsidR="000104F2">
        <w:rPr>
          <w:rFonts w:eastAsia="Calibri"/>
        </w:rPr>
        <w:t xml:space="preserve">tranách je možné navrhnout </w:t>
      </w:r>
      <w:r w:rsidR="001A0F02">
        <w:rPr>
          <w:rFonts w:eastAsia="Calibri"/>
        </w:rPr>
        <w:t>stříšky s</w:t>
      </w:r>
      <w:r w:rsidR="000104F2">
        <w:rPr>
          <w:rFonts w:eastAsia="Calibri"/>
        </w:rPr>
        <w:t xml:space="preserve"> malým </w:t>
      </w:r>
      <w:r w:rsidR="001A0F02">
        <w:rPr>
          <w:rFonts w:eastAsia="Calibri"/>
        </w:rPr>
        <w:t>vyložením</w:t>
      </w:r>
      <w:r w:rsidR="000104F2">
        <w:rPr>
          <w:rFonts w:eastAsia="Calibri"/>
        </w:rPr>
        <w:t>.</w:t>
      </w:r>
    </w:p>
    <w:p w:rsidR="004034CB" w:rsidRDefault="00B45129" w:rsidP="004034CB">
      <w:pPr>
        <w:pStyle w:val="Nadpis1"/>
        <w:numPr>
          <w:ilvl w:val="0"/>
          <w:numId w:val="1"/>
        </w:numPr>
        <w:tabs>
          <w:tab w:val="clear" w:pos="432"/>
          <w:tab w:val="num" w:pos="5961"/>
        </w:tabs>
        <w:spacing w:before="240"/>
        <w:ind w:left="431" w:hanging="431"/>
        <w:rPr>
          <w:rFonts w:eastAsia="Calibri"/>
        </w:rPr>
      </w:pPr>
      <w:bookmarkStart w:id="2" w:name="_Toc147739190"/>
      <w:r>
        <w:rPr>
          <w:rFonts w:eastAsia="Calibri"/>
        </w:rPr>
        <w:t xml:space="preserve">KONSTRUKCE </w:t>
      </w:r>
      <w:r w:rsidR="00544D2E">
        <w:rPr>
          <w:rFonts w:eastAsia="Calibri"/>
        </w:rPr>
        <w:t>OBJEKTU</w:t>
      </w:r>
      <w:bookmarkEnd w:id="2"/>
    </w:p>
    <w:p w:rsidR="004034CB" w:rsidRDefault="004034CB" w:rsidP="004034CB">
      <w:pPr>
        <w:pStyle w:val="Nadpis2"/>
        <w:numPr>
          <w:ilvl w:val="1"/>
          <w:numId w:val="1"/>
        </w:numPr>
        <w:ind w:left="578" w:hanging="578"/>
        <w:rPr>
          <w:rFonts w:eastAsia="Calibri"/>
        </w:rPr>
      </w:pPr>
      <w:bookmarkStart w:id="3" w:name="_Toc147739191"/>
      <w:r>
        <w:rPr>
          <w:rFonts w:eastAsia="Calibri"/>
        </w:rPr>
        <w:t>Z</w:t>
      </w:r>
      <w:r w:rsidR="00042267">
        <w:rPr>
          <w:rFonts w:eastAsia="Calibri"/>
        </w:rPr>
        <w:t>ákladové konstrukce</w:t>
      </w:r>
      <w:bookmarkEnd w:id="3"/>
    </w:p>
    <w:p w:rsidR="00042267" w:rsidRPr="00042267" w:rsidRDefault="00042267" w:rsidP="00042267">
      <w:pPr>
        <w:pStyle w:val="Nadpis3"/>
        <w:rPr>
          <w:rFonts w:eastAsia="Calibri"/>
        </w:rPr>
      </w:pPr>
      <w:r>
        <w:rPr>
          <w:rFonts w:eastAsia="Calibri"/>
        </w:rPr>
        <w:t>Geologické podmínky v místě objektu</w:t>
      </w:r>
    </w:p>
    <w:p w:rsidR="005D7D5A" w:rsidRPr="00D43847" w:rsidRDefault="004034CB" w:rsidP="00D43847">
      <w:pPr>
        <w:spacing w:after="240"/>
        <w:rPr>
          <w:rFonts w:ascii="Calibri" w:eastAsia="Calibri" w:hAnsi="Calibri" w:cs="Times New Roman"/>
        </w:rPr>
      </w:pPr>
      <w:r>
        <w:t xml:space="preserve">V rámci </w:t>
      </w:r>
      <w:r w:rsidR="00042267">
        <w:t>IGP byly v zájmovém území provedeny tři kopané sondy.</w:t>
      </w:r>
      <w:r w:rsidR="00ED66C5">
        <w:t xml:space="preserve"> </w:t>
      </w:r>
      <w:r w:rsidR="00042267" w:rsidRPr="0099413A">
        <w:rPr>
          <w:rFonts w:ascii="Calibri" w:eastAsia="Calibri" w:hAnsi="Calibri" w:cs="Times New Roman"/>
        </w:rPr>
        <w:t>Níže je uveden výtah z IGP popisující souvrství podloží a jeho parametry.</w:t>
      </w:r>
      <w:r w:rsidR="00042267">
        <w:rPr>
          <w:rFonts w:ascii="Calibri" w:eastAsia="Calibri" w:hAnsi="Calibri" w:cs="Times New Roman"/>
        </w:rPr>
        <w:t xml:space="preserve"> </w:t>
      </w:r>
      <w:r w:rsidR="00042267" w:rsidRPr="0099413A">
        <w:rPr>
          <w:rFonts w:ascii="Calibri" w:eastAsia="Calibri" w:hAnsi="Calibri" w:cs="Times New Roman"/>
        </w:rPr>
        <w:t>Z IGP je patrné, že v úrovni cca. 0,</w:t>
      </w:r>
      <w:r w:rsidR="005D7D5A">
        <w:rPr>
          <w:rFonts w:ascii="Calibri" w:eastAsia="Calibri" w:hAnsi="Calibri" w:cs="Times New Roman"/>
        </w:rPr>
        <w:t>1</w:t>
      </w:r>
      <w:r w:rsidR="000104F2">
        <w:rPr>
          <w:rFonts w:ascii="Calibri" w:eastAsia="Calibri" w:hAnsi="Calibri" w:cs="Times New Roman"/>
        </w:rPr>
        <w:t xml:space="preserve"> – 1,2</w:t>
      </w:r>
      <w:r w:rsidR="00042267" w:rsidRPr="0099413A">
        <w:rPr>
          <w:rFonts w:ascii="Calibri" w:eastAsia="Calibri" w:hAnsi="Calibri" w:cs="Times New Roman"/>
        </w:rPr>
        <w:t xml:space="preserve"> m pod stávajícím terénem se nachází </w:t>
      </w:r>
      <w:r w:rsidR="005D7D5A">
        <w:rPr>
          <w:rFonts w:ascii="Calibri" w:eastAsia="Calibri" w:hAnsi="Calibri" w:cs="Times New Roman"/>
        </w:rPr>
        <w:t>málo únosné vrstvy zeminy. V hloubce od 1,2 m se nachází písčitý jíl jehož tabulková únosnost je</w:t>
      </w:r>
      <w:r w:rsidR="00042267" w:rsidRPr="0099413A">
        <w:rPr>
          <w:rFonts w:ascii="Calibri" w:eastAsia="Calibri" w:hAnsi="Calibri" w:cs="Times New Roman"/>
        </w:rPr>
        <w:t xml:space="preserve"> 150 kPa. Více únosné vrstvy se nachází </w:t>
      </w:r>
      <w:r w:rsidR="005D7D5A">
        <w:rPr>
          <w:rFonts w:ascii="Calibri" w:eastAsia="Calibri" w:hAnsi="Calibri" w:cs="Times New Roman"/>
        </w:rPr>
        <w:t>cca 1,5-2,1 m pod současným terénem, kde lze uvažovat tabulkovou únosnost 300 kPa. Hladina podzemní vody nebyla zastižena.</w:t>
      </w:r>
    </w:p>
    <w:p w:rsidR="00D43847" w:rsidRDefault="005D7D5A" w:rsidP="00FA7A27">
      <w:pPr>
        <w:autoSpaceDE w:val="0"/>
        <w:autoSpaceDN w:val="0"/>
        <w:adjustRightInd w:val="0"/>
        <w:spacing w:after="0"/>
        <w:rPr>
          <w:noProof/>
          <w:lang w:eastAsia="cs-CZ"/>
        </w:rPr>
      </w:pPr>
      <w:r w:rsidRPr="005D7D5A">
        <w:rPr>
          <w:rFonts w:cstheme="minorHAnsi"/>
          <w:color w:val="000000"/>
        </w:rPr>
        <w:t xml:space="preserve">Z geologického hlediska leží lokalita na území tzv. podkrkonošské pánve oblasti lugického (sudetského) limnického permokarbonu. Výplň pánve je tvořena sedimentárními horninami svrchno-karbonského stáří. Litologicky se v zájmovém prostoru jedná o pískovce a slepence, typicky červenohnědě, </w:t>
      </w:r>
      <w:r w:rsidR="00FA7A27">
        <w:rPr>
          <w:rFonts w:cstheme="minorHAnsi"/>
          <w:color w:val="000000"/>
        </w:rPr>
        <w:t xml:space="preserve">šedě až pestrobarevně zbarvené. </w:t>
      </w:r>
      <w:r w:rsidRPr="005D7D5A">
        <w:rPr>
          <w:rFonts w:cstheme="minorHAnsi"/>
          <w:color w:val="000000"/>
        </w:rPr>
        <w:t>Kvartérní pokryv v přirozeném uložení je reprezentován deluviálními, hlinito-písčitými a písčito-jílovitými až štěrkovito-písčitými zeminami z rozpadu podložních hornin.</w:t>
      </w:r>
      <w:r w:rsidR="00FA7A27">
        <w:rPr>
          <w:rFonts w:cstheme="minorHAnsi"/>
          <w:color w:val="000000"/>
        </w:rPr>
        <w:t xml:space="preserve"> </w:t>
      </w:r>
      <w:r w:rsidR="002E7BCF">
        <w:rPr>
          <w:rFonts w:cstheme="minorHAnsi"/>
          <w:color w:val="000000"/>
        </w:rPr>
        <w:fldChar w:fldCharType="begin"/>
      </w:r>
      <w:r w:rsidR="00FA7A27">
        <w:rPr>
          <w:rFonts w:cstheme="minorHAnsi"/>
          <w:color w:val="000000"/>
        </w:rPr>
        <w:instrText xml:space="preserve"> REF _Ref113280202 \r \h </w:instrText>
      </w:r>
      <w:r w:rsidR="002E7BCF">
        <w:rPr>
          <w:rFonts w:cstheme="minorHAnsi"/>
          <w:color w:val="000000"/>
        </w:rPr>
      </w:r>
      <w:r w:rsidR="002E7BCF">
        <w:rPr>
          <w:rFonts w:cstheme="minorHAnsi"/>
          <w:color w:val="000000"/>
        </w:rPr>
        <w:fldChar w:fldCharType="separate"/>
      </w:r>
      <w:r w:rsidR="00D8576B">
        <w:rPr>
          <w:rFonts w:cstheme="minorHAnsi"/>
          <w:color w:val="000000"/>
        </w:rPr>
        <w:t>[3]</w:t>
      </w:r>
      <w:r w:rsidR="002E7BCF">
        <w:rPr>
          <w:rFonts w:cstheme="minorHAnsi"/>
          <w:color w:val="000000"/>
        </w:rPr>
        <w:fldChar w:fldCharType="end"/>
      </w:r>
      <w:r w:rsidR="00D43847" w:rsidRPr="00D43847">
        <w:rPr>
          <w:noProof/>
          <w:lang w:eastAsia="cs-CZ"/>
        </w:rPr>
        <w:t xml:space="preserve"> </w:t>
      </w:r>
    </w:p>
    <w:p w:rsidR="00D43847" w:rsidRDefault="00D43847" w:rsidP="00FA7A27">
      <w:pPr>
        <w:autoSpaceDE w:val="0"/>
        <w:autoSpaceDN w:val="0"/>
        <w:adjustRightInd w:val="0"/>
        <w:spacing w:after="0"/>
        <w:rPr>
          <w:noProof/>
          <w:lang w:eastAsia="cs-CZ"/>
        </w:rPr>
      </w:pPr>
    </w:p>
    <w:p w:rsidR="00D43847" w:rsidRDefault="00D43847" w:rsidP="00FA7A27">
      <w:pPr>
        <w:autoSpaceDE w:val="0"/>
        <w:autoSpaceDN w:val="0"/>
        <w:adjustRightInd w:val="0"/>
        <w:spacing w:after="0"/>
        <w:rPr>
          <w:noProof/>
          <w:lang w:eastAsia="cs-CZ"/>
        </w:rPr>
      </w:pPr>
    </w:p>
    <w:p w:rsidR="005D7D5A" w:rsidRDefault="00D43847" w:rsidP="00FA7A27">
      <w:pPr>
        <w:autoSpaceDE w:val="0"/>
        <w:autoSpaceDN w:val="0"/>
        <w:adjustRightInd w:val="0"/>
        <w:spacing w:after="0"/>
        <w:rPr>
          <w:noProof/>
          <w:lang w:eastAsia="cs-CZ"/>
        </w:rPr>
      </w:pPr>
      <w:r>
        <w:rPr>
          <w:noProof/>
          <w:lang w:eastAsia="cs-CZ"/>
        </w:rPr>
        <w:drawing>
          <wp:inline distT="0" distB="0" distL="0" distR="0">
            <wp:extent cx="5575684" cy="2976114"/>
            <wp:effectExtent l="19050" t="0" r="5966" b="0"/>
            <wp:docPr id="6" name="Obrázek 3" descr="IGP sondy K1-K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GP sondy K1-K2.jpg"/>
                    <pic:cNvPicPr/>
                  </pic:nvPicPr>
                  <pic:blipFill>
                    <a:blip r:embed="rId8" cstate="print"/>
                    <a:srcRect l="3114" t="8042" b="55437"/>
                    <a:stretch>
                      <a:fillRect/>
                    </a:stretch>
                  </pic:blipFill>
                  <pic:spPr>
                    <a:xfrm>
                      <a:off x="0" y="0"/>
                      <a:ext cx="5575684" cy="2976114"/>
                    </a:xfrm>
                    <a:prstGeom prst="rect">
                      <a:avLst/>
                    </a:prstGeom>
                  </pic:spPr>
                </pic:pic>
              </a:graphicData>
            </a:graphic>
          </wp:inline>
        </w:drawing>
      </w:r>
    </w:p>
    <w:p w:rsidR="00D43847" w:rsidRDefault="00D43847" w:rsidP="00FA7A27">
      <w:pPr>
        <w:autoSpaceDE w:val="0"/>
        <w:autoSpaceDN w:val="0"/>
        <w:adjustRightInd w:val="0"/>
        <w:spacing w:after="0"/>
        <w:rPr>
          <w:rFonts w:cstheme="minorHAnsi"/>
          <w:color w:val="000000"/>
        </w:rPr>
      </w:pPr>
      <w:r w:rsidRPr="00D43847">
        <w:rPr>
          <w:noProof/>
          <w:lang w:eastAsia="cs-CZ"/>
        </w:rPr>
        <w:lastRenderedPageBreak/>
        <w:drawing>
          <wp:inline distT="0" distB="0" distL="0" distR="0">
            <wp:extent cx="5573779" cy="2725947"/>
            <wp:effectExtent l="19050" t="0" r="7871" b="0"/>
            <wp:docPr id="8" name="Obrázek 3" descr="IGP sondy K1-K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GP sondy K1-K2.jpg"/>
                    <pic:cNvPicPr/>
                  </pic:nvPicPr>
                  <pic:blipFill>
                    <a:blip r:embed="rId8" cstate="print"/>
                    <a:srcRect l="3114" t="47738" b="18811"/>
                    <a:stretch>
                      <a:fillRect/>
                    </a:stretch>
                  </pic:blipFill>
                  <pic:spPr>
                    <a:xfrm>
                      <a:off x="0" y="0"/>
                      <a:ext cx="5573779" cy="2725947"/>
                    </a:xfrm>
                    <a:prstGeom prst="rect">
                      <a:avLst/>
                    </a:prstGeom>
                  </pic:spPr>
                </pic:pic>
              </a:graphicData>
            </a:graphic>
          </wp:inline>
        </w:drawing>
      </w:r>
    </w:p>
    <w:p w:rsidR="00D43847" w:rsidRDefault="00D43847" w:rsidP="00FA7A27">
      <w:pPr>
        <w:autoSpaceDE w:val="0"/>
        <w:autoSpaceDN w:val="0"/>
        <w:adjustRightInd w:val="0"/>
        <w:spacing w:after="0"/>
        <w:rPr>
          <w:rFonts w:cstheme="minorHAnsi"/>
          <w:color w:val="000000"/>
        </w:rPr>
      </w:pPr>
    </w:p>
    <w:p w:rsidR="00D43847" w:rsidRDefault="00D43847" w:rsidP="00FA7A27">
      <w:pPr>
        <w:autoSpaceDE w:val="0"/>
        <w:autoSpaceDN w:val="0"/>
        <w:adjustRightInd w:val="0"/>
        <w:spacing w:after="0"/>
        <w:rPr>
          <w:rFonts w:cstheme="minorHAnsi"/>
          <w:color w:val="000000"/>
        </w:rPr>
      </w:pPr>
      <w:r w:rsidRPr="00D43847">
        <w:rPr>
          <w:rFonts w:cstheme="minorHAnsi"/>
          <w:noProof/>
          <w:color w:val="000000"/>
          <w:lang w:eastAsia="cs-CZ"/>
        </w:rPr>
        <w:drawing>
          <wp:inline distT="0" distB="0" distL="0" distR="0">
            <wp:extent cx="5538159" cy="3295291"/>
            <wp:effectExtent l="19050" t="0" r="5391" b="0"/>
            <wp:docPr id="9" name="Obrázek 4" descr="IGP - GT1-GT3 (TA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GP - GT1-GT3 (TAB).jpg"/>
                    <pic:cNvPicPr/>
                  </pic:nvPicPr>
                  <pic:blipFill>
                    <a:blip r:embed="rId9" cstate="print"/>
                    <a:srcRect l="3799" t="38201" b="21376"/>
                    <a:stretch>
                      <a:fillRect/>
                    </a:stretch>
                  </pic:blipFill>
                  <pic:spPr>
                    <a:xfrm>
                      <a:off x="0" y="0"/>
                      <a:ext cx="5538159" cy="3295291"/>
                    </a:xfrm>
                    <a:prstGeom prst="rect">
                      <a:avLst/>
                    </a:prstGeom>
                  </pic:spPr>
                </pic:pic>
              </a:graphicData>
            </a:graphic>
          </wp:inline>
        </w:drawing>
      </w:r>
    </w:p>
    <w:p w:rsidR="00FA7A27" w:rsidRPr="00FA7A27" w:rsidRDefault="00FA7A27" w:rsidP="00D43847">
      <w:pPr>
        <w:pStyle w:val="Nadpis3"/>
      </w:pPr>
      <w:r w:rsidRPr="00FA7A27">
        <w:t>O</w:t>
      </w:r>
      <w:r w:rsidR="002F4550">
        <w:t>chrana základové spáry</w:t>
      </w:r>
    </w:p>
    <w:p w:rsidR="00FA7A27" w:rsidRDefault="00FA7A27" w:rsidP="00FA7A27">
      <w:pPr>
        <w:autoSpaceDE w:val="0"/>
        <w:autoSpaceDN w:val="0"/>
        <w:adjustRightInd w:val="0"/>
        <w:spacing w:after="0"/>
        <w:rPr>
          <w:rFonts w:cstheme="minorHAnsi"/>
          <w:color w:val="000000"/>
        </w:rPr>
      </w:pPr>
      <w:r w:rsidRPr="00FA7A27">
        <w:rPr>
          <w:rFonts w:cstheme="minorHAnsi"/>
          <w:color w:val="000000"/>
        </w:rPr>
        <w:t>Základová spára musí být chráněna před poškozením při strojním hloubení. Dno výkopů po dokončení hrubých strojních prací musí být do definitivní úrovně dočištěno lžící s rovným břitem nebo ručně a přehutněno. Základová spára nesmí být ani krátkodobě vystavena povětrnostním vlivům, zejména zatékání srážkových vod nebo mrazu. V zásadě tedy platí, že odkryta a dočištěna by měla být pouze taková plocha, která reálně může být v téže směně pokryta podkladním betonem. Nepřípustná je betonáž na propustné pískové nebo štěrkové podsypy, jež z hlediska únosnosti nemají žádný význam, a s ohledem na svoji propustnost mohou být prostředím pro akumulaci vody, negativně ovlivňující deformační charakteristiky základové půdy.</w:t>
      </w:r>
      <w:r w:rsidR="00D43847">
        <w:rPr>
          <w:rFonts w:cstheme="minorHAnsi"/>
          <w:color w:val="000000"/>
        </w:rPr>
        <w:t xml:space="preserve"> </w:t>
      </w:r>
      <w:r w:rsidR="002E7BCF">
        <w:rPr>
          <w:rFonts w:cstheme="minorHAnsi"/>
          <w:color w:val="000000"/>
        </w:rPr>
        <w:fldChar w:fldCharType="begin"/>
      </w:r>
      <w:r w:rsidR="00D43847">
        <w:rPr>
          <w:rFonts w:cstheme="minorHAnsi"/>
          <w:color w:val="000000"/>
        </w:rPr>
        <w:instrText xml:space="preserve"> REF _Ref113280202 \r \h </w:instrText>
      </w:r>
      <w:r w:rsidR="002E7BCF">
        <w:rPr>
          <w:rFonts w:cstheme="minorHAnsi"/>
          <w:color w:val="000000"/>
        </w:rPr>
      </w:r>
      <w:r w:rsidR="002E7BCF">
        <w:rPr>
          <w:rFonts w:cstheme="minorHAnsi"/>
          <w:color w:val="000000"/>
        </w:rPr>
        <w:fldChar w:fldCharType="separate"/>
      </w:r>
      <w:r w:rsidR="00D8576B">
        <w:rPr>
          <w:rFonts w:cstheme="minorHAnsi"/>
          <w:color w:val="000000"/>
        </w:rPr>
        <w:t>[3]</w:t>
      </w:r>
      <w:r w:rsidR="002E7BCF">
        <w:rPr>
          <w:rFonts w:cstheme="minorHAnsi"/>
          <w:color w:val="000000"/>
        </w:rPr>
        <w:fldChar w:fldCharType="end"/>
      </w:r>
    </w:p>
    <w:p w:rsidR="00907F64" w:rsidRDefault="00907F64" w:rsidP="00FA7A27">
      <w:pPr>
        <w:autoSpaceDE w:val="0"/>
        <w:autoSpaceDN w:val="0"/>
        <w:adjustRightInd w:val="0"/>
        <w:spacing w:after="0"/>
        <w:rPr>
          <w:rFonts w:cstheme="minorHAnsi"/>
          <w:color w:val="000000"/>
        </w:rPr>
      </w:pPr>
    </w:p>
    <w:p w:rsidR="00907F64" w:rsidRDefault="00907F64" w:rsidP="00907F64">
      <w:r w:rsidRPr="00907F64">
        <w:t>Případný vsak (bezpečnostní přepad jímky dešťových vod) pro zasakování dešťových vod z konstrukcí objektu musí být umístěn a proveden tak, aby nezpůsoboval podmačování navrhovaného objektu či okolních objektů (předem konzultovat s geologem).</w:t>
      </w:r>
    </w:p>
    <w:p w:rsidR="00FE63EF" w:rsidRPr="00907F64" w:rsidRDefault="00FE63EF" w:rsidP="00FE63EF">
      <w:r w:rsidRPr="00907F64">
        <w:lastRenderedPageBreak/>
        <w:t xml:space="preserve">Při případném přetěžení úrovně základové spáry je nepřípustné tyto zeminy v základové spáře zpětně dorovnávat nebo zhutňovat. Případné nerovnosti či přetěžená lokální místa je nutné vyplnit betonem. Odkrytou základovou spáru není možné nechat přezimovat. Před betonáží základů musí být dno výkopu dokonale vyčištěné. Tvar výkopu musí mít přesný předepsaný geometrický tvar. </w:t>
      </w:r>
      <w:r w:rsidRPr="00907F64">
        <w:rPr>
          <w:b/>
        </w:rPr>
        <w:t>Je nutné v průběhu stavby i v budoucnosti zamezit přístupu srážkové vody do podzákladí objektu.</w:t>
      </w:r>
      <w:r w:rsidRPr="00907F64">
        <w:t xml:space="preserve"> Dále je nutné vyloučit nutnost případných obsypů základových konstrukcí, aby nedocházelo propustnými zásypy k distribuci srážkové vody do podzákladí objektu.</w:t>
      </w:r>
    </w:p>
    <w:p w:rsidR="00D43847" w:rsidRDefault="00D43847" w:rsidP="00907F64">
      <w:pPr>
        <w:pStyle w:val="Nadpis3"/>
      </w:pPr>
      <w:r>
        <w:t>Založení objektu</w:t>
      </w:r>
    </w:p>
    <w:p w:rsidR="0079349C" w:rsidRPr="0079349C" w:rsidRDefault="0079349C" w:rsidP="0079349C">
      <w:pPr>
        <w:spacing w:after="240"/>
        <w:rPr>
          <w:rFonts w:eastAsia="Calibri" w:cs="Times New Roman"/>
        </w:rPr>
      </w:pPr>
      <w:r w:rsidRPr="0079349C">
        <w:t>Před započetím stavebních prací budou lokalizovány veškeré inženýrské sítě, které by mohly být při výkopových a stavebních pracích zasaženy. Výkopové práce budou probíhat za použití malé mechanizace s následným ručním dočištěním základové spáry a finálního tvaru výkopů pro základové konstrukce navrhovaného objektu.</w:t>
      </w:r>
    </w:p>
    <w:p w:rsidR="00FA7A27" w:rsidRPr="00FA7A27" w:rsidRDefault="00FA7A27" w:rsidP="00FA7A27">
      <w:pPr>
        <w:autoSpaceDE w:val="0"/>
        <w:autoSpaceDN w:val="0"/>
        <w:adjustRightInd w:val="0"/>
        <w:spacing w:after="0"/>
        <w:jc w:val="left"/>
        <w:rPr>
          <w:rFonts w:cstheme="minorHAnsi"/>
          <w:color w:val="000000"/>
        </w:rPr>
      </w:pPr>
      <w:r w:rsidRPr="00FA7A27">
        <w:rPr>
          <w:rFonts w:cstheme="minorHAnsi"/>
          <w:color w:val="000000"/>
        </w:rPr>
        <w:t xml:space="preserve">Jednotlivé stavby v mírně svažitém terénu by měly být založeny stupňovitě tak, aby současně </w:t>
      </w:r>
      <w:r w:rsidRPr="00D43847">
        <w:rPr>
          <w:rFonts w:cstheme="minorHAnsi"/>
          <w:bCs/>
          <w:color w:val="000000"/>
        </w:rPr>
        <w:t>vždy</w:t>
      </w:r>
      <w:r w:rsidRPr="00D43847">
        <w:rPr>
          <w:rFonts w:cstheme="minorHAnsi"/>
          <w:color w:val="000000"/>
        </w:rPr>
        <w:t>:</w:t>
      </w:r>
      <w:r w:rsidRPr="00FA7A27">
        <w:rPr>
          <w:rFonts w:cstheme="minorHAnsi"/>
          <w:color w:val="000000"/>
        </w:rPr>
        <w:t xml:space="preserve"> </w:t>
      </w:r>
    </w:p>
    <w:p w:rsidR="00FA7A27" w:rsidRPr="00D43847" w:rsidRDefault="00FA7A27" w:rsidP="00D43847">
      <w:pPr>
        <w:pStyle w:val="Odstavecseseznamem"/>
        <w:numPr>
          <w:ilvl w:val="0"/>
          <w:numId w:val="25"/>
        </w:numPr>
        <w:autoSpaceDE w:val="0"/>
        <w:autoSpaceDN w:val="0"/>
        <w:adjustRightInd w:val="0"/>
        <w:spacing w:after="156"/>
        <w:jc w:val="left"/>
        <w:rPr>
          <w:rFonts w:cstheme="minorHAnsi"/>
          <w:color w:val="000000"/>
        </w:rPr>
      </w:pPr>
      <w:r w:rsidRPr="00D43847">
        <w:rPr>
          <w:rFonts w:cstheme="minorHAnsi"/>
          <w:color w:val="000000"/>
        </w:rPr>
        <w:t xml:space="preserve">i v půdorysu stavby vystupující nad terén byla dodržena podmínka vyloučení pro zakládání nevhodného horizontu půd a navážek geotypu GT1, </w:t>
      </w:r>
    </w:p>
    <w:p w:rsidR="00FA7A27" w:rsidRPr="00D43847" w:rsidRDefault="00FA7A27" w:rsidP="00D43847">
      <w:pPr>
        <w:pStyle w:val="Odstavecseseznamem"/>
        <w:numPr>
          <w:ilvl w:val="0"/>
          <w:numId w:val="25"/>
        </w:numPr>
        <w:autoSpaceDE w:val="0"/>
        <w:autoSpaceDN w:val="0"/>
        <w:adjustRightInd w:val="0"/>
        <w:spacing w:after="240"/>
        <w:ind w:left="714" w:hanging="357"/>
        <w:jc w:val="left"/>
        <w:rPr>
          <w:rFonts w:cstheme="minorHAnsi"/>
          <w:color w:val="000000"/>
        </w:rPr>
      </w:pPr>
      <w:r w:rsidRPr="00D43847">
        <w:rPr>
          <w:rFonts w:cstheme="minorHAnsi"/>
          <w:color w:val="000000"/>
        </w:rPr>
        <w:t>a zároveň vůči budoucímu teré</w:t>
      </w:r>
      <w:r w:rsidR="00D43847">
        <w:rPr>
          <w:rFonts w:cstheme="minorHAnsi"/>
          <w:color w:val="000000"/>
        </w:rPr>
        <w:t xml:space="preserve">nu dodržena podmínka </w:t>
      </w:r>
      <w:r w:rsidRPr="00D43847">
        <w:rPr>
          <w:rFonts w:cstheme="minorHAnsi"/>
          <w:color w:val="000000"/>
        </w:rPr>
        <w:t xml:space="preserve">dostatečné hloubky zakládání ≥ 1,2 m. </w:t>
      </w:r>
    </w:p>
    <w:p w:rsidR="00FA7A27" w:rsidRPr="00FA7A27" w:rsidRDefault="00FA7A27" w:rsidP="00D43847">
      <w:pPr>
        <w:autoSpaceDE w:val="0"/>
        <w:autoSpaceDN w:val="0"/>
        <w:adjustRightInd w:val="0"/>
        <w:spacing w:after="240"/>
        <w:rPr>
          <w:rFonts w:cstheme="minorHAnsi"/>
          <w:color w:val="000000"/>
        </w:rPr>
      </w:pPr>
      <w:r w:rsidRPr="00FA7A27">
        <w:rPr>
          <w:rFonts w:cstheme="minorHAnsi"/>
          <w:color w:val="000000"/>
        </w:rPr>
        <w:t xml:space="preserve">Za souběhu výše uvedených podmínek je zobecňujícím konstatováním, že základová spára staveb </w:t>
      </w:r>
      <w:r w:rsidR="00322730">
        <w:rPr>
          <w:rFonts w:cstheme="minorHAnsi"/>
          <w:color w:val="000000"/>
        </w:rPr>
        <w:t xml:space="preserve">může procházet </w:t>
      </w:r>
      <w:r w:rsidRPr="00FA7A27">
        <w:rPr>
          <w:rFonts w:cstheme="minorHAnsi"/>
          <w:color w:val="000000"/>
        </w:rPr>
        <w:t xml:space="preserve">prostředím základových půd geotypu GT2 v podobě prolínajícího se systému jílovitopísčitých, písčitojílovitých a hlinito-písčitých zemin deluviálního kvartéru. Obecně se bude jednat o základovou půdu k danému účelu vhodnou a dostatečně únosnou, nicméně v širší ploše půdorysu staveb do jisté míry nejednotných mechanických vlastností zejména ve smyslu soudržnosti a smykových charakteristik a bez reálné možnosti či smyslu podrobnějšího rajónování. </w:t>
      </w:r>
      <w:r w:rsidR="002E7BCF">
        <w:rPr>
          <w:rFonts w:cstheme="minorHAnsi"/>
          <w:color w:val="000000"/>
        </w:rPr>
        <w:fldChar w:fldCharType="begin"/>
      </w:r>
      <w:r w:rsidR="00D43847">
        <w:rPr>
          <w:rFonts w:cstheme="minorHAnsi"/>
          <w:color w:val="000000"/>
        </w:rPr>
        <w:instrText xml:space="preserve"> REF _Ref113280202 \r \h </w:instrText>
      </w:r>
      <w:r w:rsidR="002E7BCF">
        <w:rPr>
          <w:rFonts w:cstheme="minorHAnsi"/>
          <w:color w:val="000000"/>
        </w:rPr>
      </w:r>
      <w:r w:rsidR="002E7BCF">
        <w:rPr>
          <w:rFonts w:cstheme="minorHAnsi"/>
          <w:color w:val="000000"/>
        </w:rPr>
        <w:fldChar w:fldCharType="separate"/>
      </w:r>
      <w:r w:rsidR="00D8576B">
        <w:rPr>
          <w:rFonts w:cstheme="minorHAnsi"/>
          <w:color w:val="000000"/>
        </w:rPr>
        <w:t>[3]</w:t>
      </w:r>
      <w:r w:rsidR="002E7BCF">
        <w:rPr>
          <w:rFonts w:cstheme="minorHAnsi"/>
          <w:color w:val="000000"/>
        </w:rPr>
        <w:fldChar w:fldCharType="end"/>
      </w:r>
    </w:p>
    <w:p w:rsidR="00FA7A27" w:rsidRDefault="00FA7A27" w:rsidP="00D43847">
      <w:pPr>
        <w:autoSpaceDE w:val="0"/>
        <w:autoSpaceDN w:val="0"/>
        <w:adjustRightInd w:val="0"/>
        <w:spacing w:after="240"/>
        <w:rPr>
          <w:rFonts w:cstheme="minorHAnsi"/>
          <w:color w:val="000000"/>
        </w:rPr>
      </w:pPr>
      <w:r w:rsidRPr="00FA7A27">
        <w:rPr>
          <w:rFonts w:cstheme="minorHAnsi"/>
          <w:color w:val="000000"/>
        </w:rPr>
        <w:t>Z uvedeného důvodu je pro návrh plošného základu na straně bezpečnosti</w:t>
      </w:r>
      <w:r w:rsidR="00D43847">
        <w:rPr>
          <w:rFonts w:cstheme="minorHAnsi"/>
          <w:color w:val="000000"/>
        </w:rPr>
        <w:t xml:space="preserve"> </w:t>
      </w:r>
      <w:r w:rsidRPr="00FA7A27">
        <w:rPr>
          <w:rFonts w:cstheme="minorHAnsi"/>
          <w:color w:val="000000"/>
        </w:rPr>
        <w:t>nutno vycházet z nejméně příznivých charakte</w:t>
      </w:r>
      <w:r w:rsidR="00D43847">
        <w:rPr>
          <w:rFonts w:cstheme="minorHAnsi"/>
          <w:color w:val="000000"/>
        </w:rPr>
        <w:t>ristik systému GT2</w:t>
      </w:r>
      <w:r w:rsidRPr="00FA7A27">
        <w:rPr>
          <w:rFonts w:cstheme="minorHAnsi"/>
          <w:color w:val="000000"/>
        </w:rPr>
        <w:t xml:space="preserve"> nebo lze bez </w:t>
      </w:r>
      <w:r w:rsidR="00322730">
        <w:rPr>
          <w:rFonts w:cstheme="minorHAnsi"/>
          <w:color w:val="000000"/>
        </w:rPr>
        <w:t xml:space="preserve">dalšího primárně uvažovat </w:t>
      </w:r>
      <w:r w:rsidRPr="00FA7A27">
        <w:rPr>
          <w:rFonts w:cstheme="minorHAnsi"/>
          <w:color w:val="000000"/>
        </w:rPr>
        <w:t xml:space="preserve">hodnotu tabulkové výpočtové únosnosti </w:t>
      </w:r>
      <w:r w:rsidRPr="00D43847">
        <w:rPr>
          <w:rFonts w:cstheme="minorHAnsi"/>
          <w:bCs/>
          <w:color w:val="000000"/>
        </w:rPr>
        <w:t>Rdt = 150 kPa</w:t>
      </w:r>
      <w:r w:rsidRPr="00FA7A27">
        <w:rPr>
          <w:rFonts w:cstheme="minorHAnsi"/>
          <w:color w:val="000000"/>
        </w:rPr>
        <w:t>, ve smyslu dříve užívané ČSN 73 1001 tak, aby byla splněna podmínka stability plošného základu</w:t>
      </w:r>
      <w:r w:rsidR="00D43847">
        <w:rPr>
          <w:rFonts w:cstheme="minorHAnsi"/>
          <w:color w:val="000000"/>
        </w:rPr>
        <w:t xml:space="preserve">. </w:t>
      </w:r>
      <w:r w:rsidRPr="00FA7A27">
        <w:rPr>
          <w:rFonts w:cstheme="minorHAnsi"/>
          <w:color w:val="000000"/>
        </w:rPr>
        <w:t xml:space="preserve">Podloží ve formě zvětralého pískovce při doporučené hloubce zakládání 1,2 m p. ter. zastiženo nebude, nebo pouze zcela okrajově. Zároveň ale v celém, nebo zásadně převažujícím prostoru výstavby se toto podloží bude nacházet již bezprostředně pod úrovní základové spáry. </w:t>
      </w:r>
      <w:r w:rsidR="002E7BCF">
        <w:rPr>
          <w:rFonts w:cstheme="minorHAnsi"/>
          <w:color w:val="000000"/>
        </w:rPr>
        <w:fldChar w:fldCharType="begin"/>
      </w:r>
      <w:r w:rsidR="00D43847">
        <w:rPr>
          <w:rFonts w:cstheme="minorHAnsi"/>
          <w:color w:val="000000"/>
        </w:rPr>
        <w:instrText xml:space="preserve"> REF _Ref113280202 \r \h </w:instrText>
      </w:r>
      <w:r w:rsidR="002E7BCF">
        <w:rPr>
          <w:rFonts w:cstheme="minorHAnsi"/>
          <w:color w:val="000000"/>
        </w:rPr>
      </w:r>
      <w:r w:rsidR="002E7BCF">
        <w:rPr>
          <w:rFonts w:cstheme="minorHAnsi"/>
          <w:color w:val="000000"/>
        </w:rPr>
        <w:fldChar w:fldCharType="separate"/>
      </w:r>
      <w:r w:rsidR="00D8576B">
        <w:rPr>
          <w:rFonts w:cstheme="minorHAnsi"/>
          <w:color w:val="000000"/>
        </w:rPr>
        <w:t>[3]</w:t>
      </w:r>
      <w:r w:rsidR="002E7BCF">
        <w:rPr>
          <w:rFonts w:cstheme="minorHAnsi"/>
          <w:color w:val="000000"/>
        </w:rPr>
        <w:fldChar w:fldCharType="end"/>
      </w:r>
    </w:p>
    <w:p w:rsidR="0079349C" w:rsidRDefault="0079349C" w:rsidP="00D43847">
      <w:pPr>
        <w:autoSpaceDE w:val="0"/>
        <w:autoSpaceDN w:val="0"/>
        <w:adjustRightInd w:val="0"/>
        <w:spacing w:after="240"/>
      </w:pPr>
      <w:r w:rsidRPr="0079349C">
        <w:rPr>
          <w:rFonts w:eastAsia="Calibri" w:cs="Times New Roman"/>
        </w:rPr>
        <w:t>Objekt bude založen plošně na dvoustupňov</w:t>
      </w:r>
      <w:r>
        <w:rPr>
          <w:rFonts w:eastAsia="Calibri" w:cs="Times New Roman"/>
        </w:rPr>
        <w:t>ých základových pasech</w:t>
      </w:r>
      <w:r w:rsidRPr="0079349C">
        <w:rPr>
          <w:rFonts w:eastAsia="Calibri" w:cs="Times New Roman"/>
        </w:rPr>
        <w:t xml:space="preserve">. </w:t>
      </w:r>
      <w:r w:rsidRPr="0079349C">
        <w:t>Spodní stupeň z</w:t>
      </w:r>
      <w:r>
        <w:t>ákladových pasů bude mít šířku 7</w:t>
      </w:r>
      <w:r w:rsidRPr="0079349C">
        <w:t>00</w:t>
      </w:r>
      <w:r w:rsidR="00AD3B7E">
        <w:t xml:space="preserve">-800 </w:t>
      </w:r>
      <w:r w:rsidRPr="0079349C">
        <w:t>mm</w:t>
      </w:r>
      <w:r w:rsidR="00AD3B7E">
        <w:t xml:space="preserve"> (GT2) </w:t>
      </w:r>
      <w:r w:rsidR="00322730">
        <w:t>nebo 400-500 mm (GT3) a výšku 50</w:t>
      </w:r>
      <w:r w:rsidRPr="0079349C">
        <w:t>0mm, bude proveden z prostého betonu</w:t>
      </w:r>
      <w:r w:rsidR="008F1C36">
        <w:t xml:space="preserve"> C16/20</w:t>
      </w:r>
      <w:r w:rsidRPr="0079349C">
        <w:t>. Doporučujeme betonáž spodního stupně základových konstrukcí přímo do vykopané rýhy, aby se zamezilo nutnosti případných obsypů základových konstrukcí. Propustnými zásypy by totiž docházelo k distribuci srážkové vody do podzákladí objektů (k základové spáře), což je nepřípustné. Horní stu</w:t>
      </w:r>
      <w:r w:rsidR="00AD3B7E">
        <w:t>peň základových pasů výšky</w:t>
      </w:r>
      <w:r w:rsidRPr="0079349C">
        <w:t xml:space="preserve"> 750 mm bude z betonových tvárnic na šířku 300mm, tvořících ztracené bednění, které budou vyplněny zálivkovým betonem C16</w:t>
      </w:r>
      <w:r w:rsidR="00AD3B7E">
        <w:t>/20-XC2 s vloženou vodorovnou i </w:t>
      </w:r>
      <w:r w:rsidRPr="0079349C">
        <w:t>svislou konstrukční výztuží. U všech základových pasů bude ze spodního stupně provedeno vykotvení svislé výztuže do ho</w:t>
      </w:r>
      <w:r w:rsidR="00AD3B7E">
        <w:t xml:space="preserve">rního stupně základového pasu. </w:t>
      </w:r>
      <w:r w:rsidRPr="0079349C">
        <w:t>Hloubka základové spáry bude v nezámrzné hloubce min. 1200</w:t>
      </w:r>
      <w:r w:rsidR="00AD3B7E">
        <w:t> </w:t>
      </w:r>
      <w:r w:rsidRPr="0079349C">
        <w:t xml:space="preserve">mm </w:t>
      </w:r>
      <w:r w:rsidR="00AD3B7E">
        <w:t xml:space="preserve">(GT2) nebo min. 1500 mm (GT3) </w:t>
      </w:r>
      <w:r w:rsidRPr="0079349C">
        <w:t>pod úrovní upraveného terénu.</w:t>
      </w:r>
    </w:p>
    <w:p w:rsidR="00A97D21" w:rsidRPr="00BF61B0" w:rsidRDefault="00A97D21" w:rsidP="00A97D21">
      <w:r w:rsidRPr="00BF61B0">
        <w:t xml:space="preserve">Železobetonová podlahová </w:t>
      </w:r>
      <w:r w:rsidR="002932F0">
        <w:t xml:space="preserve">resp. základová </w:t>
      </w:r>
      <w:r w:rsidRPr="00BF61B0">
        <w:t>deska bude navržena jako stropní deska podepřena základovými pasy a bude tl. 200 mm z beton</w:t>
      </w:r>
      <w:r w:rsidR="00BF61B0" w:rsidRPr="00BF61B0">
        <w:t>u C25/30</w:t>
      </w:r>
      <w:r w:rsidRPr="00BF61B0">
        <w:t xml:space="preserve">-XC4, XA1. Hydroizolace bude umístěna nad základovou desku. Výztuž desky bude tvořena </w:t>
      </w:r>
      <w:r w:rsidR="00BF61B0" w:rsidRPr="00BF61B0">
        <w:t>vázanou výztuží dle vypracovaných výkresů výztuže v navazující části projektu. K</w:t>
      </w:r>
      <w:r w:rsidRPr="00BF61B0">
        <w:t>rytí</w:t>
      </w:r>
      <w:r w:rsidR="00BF61B0" w:rsidRPr="00BF61B0">
        <w:t xml:space="preserve"> desky bude</w:t>
      </w:r>
      <w:r w:rsidRPr="00BF61B0">
        <w:t xml:space="preserve"> 45</w:t>
      </w:r>
      <w:r w:rsidR="00BF61B0" w:rsidRPr="00BF61B0">
        <w:t> mm zdola a 25 mm zhora</w:t>
      </w:r>
      <w:r w:rsidRPr="00BF61B0">
        <w:t xml:space="preserve">. </w:t>
      </w:r>
      <w:r w:rsidR="00BF61B0" w:rsidRPr="00BF61B0">
        <w:t xml:space="preserve">Podlahová deska bude </w:t>
      </w:r>
      <w:r w:rsidRPr="00BF61B0">
        <w:lastRenderedPageBreak/>
        <w:t xml:space="preserve">položena na </w:t>
      </w:r>
      <w:r w:rsidR="00BF61B0" w:rsidRPr="00BF61B0">
        <w:t>ne</w:t>
      </w:r>
      <w:r w:rsidRPr="00BF61B0">
        <w:t>zhutněný zásyp</w:t>
      </w:r>
      <w:r w:rsidR="00BF61B0" w:rsidRPr="00BF61B0">
        <w:t xml:space="preserve">. </w:t>
      </w:r>
      <w:r w:rsidRPr="00BF61B0">
        <w:t>Zásypy uvnitř objektu a vně objektu musí probíhat současně z obou stran podezdívky. Maximální rozdíl hutněného terénu uvnitř a vně objektu je 300 mm.</w:t>
      </w:r>
    </w:p>
    <w:p w:rsidR="004034CB" w:rsidRDefault="002F4550" w:rsidP="004034CB">
      <w:pPr>
        <w:pStyle w:val="Default"/>
        <w:jc w:val="both"/>
        <w:rPr>
          <w:sz w:val="22"/>
          <w:szCs w:val="22"/>
        </w:rPr>
      </w:pPr>
      <w:r>
        <w:rPr>
          <w:sz w:val="22"/>
          <w:szCs w:val="22"/>
        </w:rPr>
        <w:t>Základy byly navrženy za těchto předpokladů:</w:t>
      </w:r>
    </w:p>
    <w:p w:rsidR="002F4550" w:rsidRPr="00DD4B62" w:rsidRDefault="002F4550" w:rsidP="004034CB">
      <w:pPr>
        <w:pStyle w:val="Default"/>
        <w:jc w:val="both"/>
        <w:rPr>
          <w:sz w:val="22"/>
          <w:szCs w:val="22"/>
        </w:rPr>
      </w:pPr>
    </w:p>
    <w:p w:rsidR="002F4550" w:rsidRPr="002F4550" w:rsidRDefault="002F4550" w:rsidP="00F21E7C">
      <w:pPr>
        <w:pStyle w:val="Default"/>
        <w:numPr>
          <w:ilvl w:val="0"/>
          <w:numId w:val="8"/>
        </w:numPr>
        <w:spacing w:line="276" w:lineRule="auto"/>
        <w:jc w:val="both"/>
        <w:rPr>
          <w:sz w:val="22"/>
          <w:szCs w:val="22"/>
        </w:rPr>
      </w:pPr>
      <w:r>
        <w:rPr>
          <w:sz w:val="22"/>
          <w:szCs w:val="22"/>
        </w:rPr>
        <w:t xml:space="preserve">základové konstrukce jsou navrženy za předpokladu stejných základových poměrů v celém rozsahu stavby, základová půda musí mít v celém rozsahu základových konstrukcí stejné deformační parametry, zajišťující stejnou stlačitelnost a rovnoměrné sedání stavby. V případě, že základová spára </w:t>
      </w:r>
      <w:r w:rsidR="00BF61B0">
        <w:rPr>
          <w:sz w:val="22"/>
          <w:szCs w:val="22"/>
        </w:rPr>
        <w:t xml:space="preserve">v </w:t>
      </w:r>
      <w:r>
        <w:rPr>
          <w:sz w:val="22"/>
          <w:szCs w:val="22"/>
        </w:rPr>
        <w:t xml:space="preserve">části objektu bude zasahovat do zvětralého pískovce (GT3), je nutné základové pasy celého objektu prohloubit tak, aby bylo podloží </w:t>
      </w:r>
      <w:r w:rsidR="000104F2">
        <w:rPr>
          <w:sz w:val="22"/>
          <w:szCs w:val="22"/>
        </w:rPr>
        <w:t>stejného charakteru,</w:t>
      </w:r>
    </w:p>
    <w:p w:rsidR="004034CB" w:rsidRPr="00DD4B62" w:rsidRDefault="004034CB" w:rsidP="00F21E7C">
      <w:pPr>
        <w:pStyle w:val="Default"/>
        <w:numPr>
          <w:ilvl w:val="0"/>
          <w:numId w:val="8"/>
        </w:numPr>
        <w:spacing w:after="32" w:line="276" w:lineRule="auto"/>
        <w:jc w:val="both"/>
        <w:rPr>
          <w:sz w:val="22"/>
          <w:szCs w:val="22"/>
        </w:rPr>
      </w:pPr>
      <w:r w:rsidRPr="00DD4B62">
        <w:rPr>
          <w:sz w:val="22"/>
          <w:szCs w:val="22"/>
        </w:rPr>
        <w:t xml:space="preserve">minimální únosnost základové spáry </w:t>
      </w:r>
      <w:r w:rsidRPr="002F4550">
        <w:rPr>
          <w:sz w:val="22"/>
          <w:szCs w:val="22"/>
        </w:rPr>
        <w:t>je </w:t>
      </w:r>
      <w:r w:rsidR="00BF61B0">
        <w:rPr>
          <w:sz w:val="22"/>
          <w:szCs w:val="22"/>
        </w:rPr>
        <w:t xml:space="preserve"> </w:t>
      </w:r>
      <w:r w:rsidRPr="002F4550">
        <w:rPr>
          <w:sz w:val="22"/>
          <w:szCs w:val="22"/>
        </w:rPr>
        <w:t>150 kPa</w:t>
      </w:r>
      <w:r w:rsidR="00BF61B0">
        <w:rPr>
          <w:sz w:val="22"/>
          <w:szCs w:val="22"/>
        </w:rPr>
        <w:t>-GT2</w:t>
      </w:r>
      <w:r w:rsidRPr="002F4550">
        <w:rPr>
          <w:sz w:val="22"/>
          <w:szCs w:val="22"/>
        </w:rPr>
        <w:t>,</w:t>
      </w:r>
      <w:r w:rsidR="002F4550" w:rsidRPr="002F4550">
        <w:rPr>
          <w:sz w:val="22"/>
          <w:szCs w:val="22"/>
        </w:rPr>
        <w:t xml:space="preserve"> 300kPa</w:t>
      </w:r>
      <w:r w:rsidR="00BF61B0">
        <w:rPr>
          <w:sz w:val="22"/>
          <w:szCs w:val="22"/>
        </w:rPr>
        <w:t>-GT3</w:t>
      </w:r>
      <w:r w:rsidR="002F4550">
        <w:rPr>
          <w:sz w:val="22"/>
          <w:szCs w:val="22"/>
        </w:rPr>
        <w:t>,</w:t>
      </w:r>
    </w:p>
    <w:p w:rsidR="004034CB" w:rsidRDefault="004034CB" w:rsidP="00F21E7C">
      <w:pPr>
        <w:pStyle w:val="Default"/>
        <w:numPr>
          <w:ilvl w:val="0"/>
          <w:numId w:val="8"/>
        </w:numPr>
        <w:spacing w:line="276" w:lineRule="auto"/>
        <w:jc w:val="both"/>
        <w:rPr>
          <w:sz w:val="22"/>
          <w:szCs w:val="22"/>
        </w:rPr>
      </w:pPr>
      <w:r w:rsidRPr="00DD4B62">
        <w:rPr>
          <w:sz w:val="22"/>
          <w:szCs w:val="22"/>
        </w:rPr>
        <w:t>základy jsou v celém rozs</w:t>
      </w:r>
      <w:r w:rsidR="00BF61B0">
        <w:rPr>
          <w:sz w:val="22"/>
          <w:szCs w:val="22"/>
        </w:rPr>
        <w:t>ahu objektu v nezámrzné hloubce,</w:t>
      </w:r>
      <w:r w:rsidRPr="00DD4B62">
        <w:rPr>
          <w:sz w:val="22"/>
          <w:szCs w:val="22"/>
        </w:rPr>
        <w:t xml:space="preserve"> </w:t>
      </w:r>
    </w:p>
    <w:p w:rsidR="002F4550" w:rsidRDefault="002F4550" w:rsidP="00F21E7C">
      <w:pPr>
        <w:pStyle w:val="Default"/>
        <w:numPr>
          <w:ilvl w:val="0"/>
          <w:numId w:val="8"/>
        </w:numPr>
        <w:spacing w:line="276" w:lineRule="auto"/>
        <w:rPr>
          <w:sz w:val="22"/>
          <w:szCs w:val="22"/>
        </w:rPr>
      </w:pPr>
      <w:r>
        <w:rPr>
          <w:sz w:val="22"/>
          <w:szCs w:val="22"/>
        </w:rPr>
        <w:t>základová spára není o</w:t>
      </w:r>
      <w:r w:rsidR="00BF61B0">
        <w:rPr>
          <w:sz w:val="22"/>
          <w:szCs w:val="22"/>
        </w:rPr>
        <w:t>vlivněna hladinou podzemní vody,</w:t>
      </w:r>
      <w:r>
        <w:rPr>
          <w:sz w:val="22"/>
          <w:szCs w:val="22"/>
        </w:rPr>
        <w:t xml:space="preserve"> </w:t>
      </w:r>
    </w:p>
    <w:p w:rsidR="00F21E7C" w:rsidRDefault="00F21E7C" w:rsidP="00F21E7C">
      <w:pPr>
        <w:pStyle w:val="Default"/>
        <w:numPr>
          <w:ilvl w:val="0"/>
          <w:numId w:val="8"/>
        </w:numPr>
        <w:spacing w:line="276" w:lineRule="auto"/>
        <w:rPr>
          <w:sz w:val="22"/>
          <w:szCs w:val="22"/>
        </w:rPr>
      </w:pPr>
      <w:r>
        <w:rPr>
          <w:sz w:val="22"/>
          <w:szCs w:val="22"/>
        </w:rPr>
        <w:t xml:space="preserve">Hloubka založení v blízkosti opěrných stěn bude upravena tak, aby opěrná </w:t>
      </w:r>
      <w:r w:rsidR="00BF61B0">
        <w:rPr>
          <w:sz w:val="22"/>
          <w:szCs w:val="22"/>
        </w:rPr>
        <w:t>stěna nebyla přitěžována objekty rodinných domů,</w:t>
      </w:r>
    </w:p>
    <w:p w:rsidR="00B45129" w:rsidRDefault="00B45129" w:rsidP="00B45129">
      <w:pPr>
        <w:pStyle w:val="Odstavecseseznamem"/>
        <w:numPr>
          <w:ilvl w:val="0"/>
          <w:numId w:val="8"/>
        </w:numPr>
        <w:spacing w:after="0"/>
      </w:pPr>
      <w:r>
        <w:t>p</w:t>
      </w:r>
      <w:r w:rsidRPr="00DD5C4E">
        <w:t>ři určení finální hloubky základové spáry je nutné dále zohlednit i nebezpečí vysychání základové půdy s ohledem na druh zeminy zjištěný v místě stavby (nutno tuto problematiku konzultovat s geologem, který bude provádět přejímku základové spáry navrženého objektu)</w:t>
      </w:r>
    </w:p>
    <w:p w:rsidR="00907F64" w:rsidRPr="00B45129" w:rsidRDefault="00907F64" w:rsidP="00907F64">
      <w:pPr>
        <w:spacing w:after="0"/>
      </w:pPr>
    </w:p>
    <w:p w:rsidR="00907F64" w:rsidRPr="00907F64" w:rsidRDefault="00907F64" w:rsidP="00907F64">
      <w:r w:rsidRPr="00907F64">
        <w:rPr>
          <w:b/>
        </w:rPr>
        <w:t xml:space="preserve">Geologické podmínky v místě navrhovaného objektu musí být ověřeny geologem po realizaci výkopových prací v celém rozsahu stavby. </w:t>
      </w:r>
      <w:r w:rsidRPr="00907F64">
        <w:t>Po vykopání rýh pro základové pasy převezme základovou spáru zodpovědný geolog, který stvrdí zápisem do stavebního deníku zde uvedené předpoklady.</w:t>
      </w:r>
    </w:p>
    <w:p w:rsidR="00907F64" w:rsidRPr="00907F64" w:rsidRDefault="00907F64" w:rsidP="00907F64">
      <w:r w:rsidRPr="00907F64">
        <w:t xml:space="preserve">Pokud bude při přejímce základové spáry zjištěna jiná úroveň předepsané jakosti základové půdy, než uvádí projekt </w:t>
      </w:r>
      <w:r w:rsidRPr="00907F64">
        <w:rPr>
          <w:b/>
        </w:rPr>
        <w:t>(zejména musí být geologem na stavbě potvrzena minimální požadovaná svislá tabulková výpočtová únosnost základové půdy R</w:t>
      </w:r>
      <w:r w:rsidRPr="00907F64">
        <w:rPr>
          <w:b/>
          <w:vertAlign w:val="subscript"/>
        </w:rPr>
        <w:t>dt</w:t>
      </w:r>
      <w:r w:rsidRPr="00907F64">
        <w:rPr>
          <w:b/>
        </w:rPr>
        <w:t>=150kPa</w:t>
      </w:r>
      <w:r w:rsidR="002932F0">
        <w:rPr>
          <w:b/>
        </w:rPr>
        <w:t xml:space="preserve"> (GT2), případně </w:t>
      </w:r>
      <w:r w:rsidR="002932F0" w:rsidRPr="00907F64">
        <w:rPr>
          <w:b/>
        </w:rPr>
        <w:t>R</w:t>
      </w:r>
      <w:r w:rsidR="002932F0" w:rsidRPr="00907F64">
        <w:rPr>
          <w:b/>
          <w:vertAlign w:val="subscript"/>
        </w:rPr>
        <w:t>dt</w:t>
      </w:r>
      <w:r w:rsidR="002932F0">
        <w:rPr>
          <w:b/>
        </w:rPr>
        <w:t>=30</w:t>
      </w:r>
      <w:r w:rsidR="002932F0" w:rsidRPr="00907F64">
        <w:rPr>
          <w:b/>
        </w:rPr>
        <w:t>0kPa</w:t>
      </w:r>
      <w:r w:rsidR="002932F0">
        <w:rPr>
          <w:b/>
        </w:rPr>
        <w:t xml:space="preserve"> při založení do GT3</w:t>
      </w:r>
      <w:r w:rsidRPr="00907F64">
        <w:rPr>
          <w:b/>
        </w:rPr>
        <w:t xml:space="preserve"> a stejné deformační parametry materiálu základové spáry</w:t>
      </w:r>
      <w:r w:rsidRPr="00907F64">
        <w:t>), je nutné tuto skutečnost konzultovat se statikem a případně provést v rámci autorských dozorů revizi návrhu základových konstrukcí.</w:t>
      </w:r>
    </w:p>
    <w:p w:rsidR="00907F64" w:rsidRPr="00907F64" w:rsidRDefault="00907F64" w:rsidP="00907F64">
      <w:pPr>
        <w:rPr>
          <w:bCs/>
        </w:rPr>
      </w:pPr>
      <w:r w:rsidRPr="00907F64">
        <w:rPr>
          <w:bCs/>
        </w:rPr>
        <w:t>V případě zjištění jiné agresivity zemního prostředí na betonové konstrukce, bude nutné třídu a kvalitu betonu základových konstrukcí upravit v souladu s požadavky norem.</w:t>
      </w:r>
    </w:p>
    <w:p w:rsidR="004034CB" w:rsidRDefault="00D03171" w:rsidP="004034CB">
      <w:pPr>
        <w:pStyle w:val="Nadpis2"/>
        <w:numPr>
          <w:ilvl w:val="1"/>
          <w:numId w:val="1"/>
        </w:numPr>
        <w:ind w:left="578" w:hanging="578"/>
        <w:rPr>
          <w:rFonts w:eastAsia="Calibri"/>
        </w:rPr>
      </w:pPr>
      <w:bookmarkStart w:id="4" w:name="_Toc147739192"/>
      <w:r>
        <w:rPr>
          <w:rFonts w:eastAsia="Calibri"/>
        </w:rPr>
        <w:t>S</w:t>
      </w:r>
      <w:r w:rsidR="004034CB">
        <w:rPr>
          <w:rFonts w:eastAsia="Calibri"/>
        </w:rPr>
        <w:t>vislé konstrukce</w:t>
      </w:r>
      <w:bookmarkEnd w:id="4"/>
    </w:p>
    <w:p w:rsidR="00D03171" w:rsidRPr="00D03171" w:rsidRDefault="00D03171" w:rsidP="00D03171">
      <w:pPr>
        <w:rPr>
          <w:highlight w:val="yellow"/>
        </w:rPr>
      </w:pPr>
      <w:r w:rsidRPr="001025FF">
        <w:rPr>
          <w:rFonts w:eastAsia="Calibri" w:cs="Times New Roman"/>
        </w:rPr>
        <w:t>Nos</w:t>
      </w:r>
      <w:r w:rsidR="005C77F4">
        <w:rPr>
          <w:rFonts w:eastAsia="Calibri" w:cs="Times New Roman"/>
        </w:rPr>
        <w:t>ný konstrukční systém</w:t>
      </w:r>
      <w:r w:rsidRPr="001025FF">
        <w:rPr>
          <w:rFonts w:eastAsia="Calibri" w:cs="Times New Roman"/>
        </w:rPr>
        <w:t xml:space="preserve"> </w:t>
      </w:r>
      <w:r w:rsidR="005C77F4">
        <w:rPr>
          <w:rFonts w:eastAsia="Calibri" w:cs="Times New Roman"/>
        </w:rPr>
        <w:t>objektu</w:t>
      </w:r>
      <w:r w:rsidRPr="001025FF">
        <w:rPr>
          <w:rFonts w:eastAsia="Calibri" w:cs="Times New Roman"/>
        </w:rPr>
        <w:t xml:space="preserve"> je stěnový. Obvodové nosné stěny jsou provedeny ze zděných keramických bloků</w:t>
      </w:r>
      <w:r w:rsidR="001025FF" w:rsidRPr="001025FF">
        <w:rPr>
          <w:rFonts w:eastAsia="Calibri" w:cs="Times New Roman"/>
        </w:rPr>
        <w:t xml:space="preserve"> P1</w:t>
      </w:r>
      <w:r w:rsidR="008046DE">
        <w:rPr>
          <w:rFonts w:eastAsia="Calibri" w:cs="Times New Roman"/>
        </w:rPr>
        <w:t>0</w:t>
      </w:r>
      <w:r w:rsidRPr="001025FF">
        <w:rPr>
          <w:rFonts w:eastAsia="Calibri" w:cs="Times New Roman"/>
        </w:rPr>
        <w:t xml:space="preserve">, tl. 300mm. Vazba bude provedena </w:t>
      </w:r>
      <w:r w:rsidR="00532BF5">
        <w:rPr>
          <w:rFonts w:eastAsia="Calibri" w:cs="Times New Roman"/>
        </w:rPr>
        <w:t>na maltu pro tenké spáry pevnosti M10</w:t>
      </w:r>
      <w:r w:rsidRPr="001025FF">
        <w:rPr>
          <w:rFonts w:eastAsia="Calibri" w:cs="Times New Roman"/>
        </w:rPr>
        <w:t>. V</w:t>
      </w:r>
      <w:r w:rsidR="001025FF" w:rsidRPr="001025FF">
        <w:rPr>
          <w:rFonts w:eastAsia="Calibri" w:cs="Times New Roman"/>
        </w:rPr>
        <w:t>e zhlaví obvodových stěn bude realizován ŽB věnec šířky 200-250 mm,</w:t>
      </w:r>
      <w:r w:rsidRPr="001025FF">
        <w:rPr>
          <w:rFonts w:eastAsia="Calibri" w:cs="Times New Roman"/>
        </w:rPr>
        <w:t xml:space="preserve"> </w:t>
      </w:r>
      <w:r w:rsidR="001025FF" w:rsidRPr="001025FF">
        <w:rPr>
          <w:rFonts w:eastAsia="Calibri" w:cs="Times New Roman"/>
        </w:rPr>
        <w:t>vysoký 550-60</w:t>
      </w:r>
      <w:r w:rsidRPr="001025FF">
        <w:rPr>
          <w:rFonts w:eastAsia="Calibri" w:cs="Times New Roman"/>
        </w:rPr>
        <w:t>0 mm</w:t>
      </w:r>
      <w:r w:rsidR="005C77F4">
        <w:rPr>
          <w:rFonts w:eastAsia="Calibri" w:cs="Times New Roman"/>
        </w:rPr>
        <w:t xml:space="preserve"> v závislosti na návaznosti v ASŘ</w:t>
      </w:r>
      <w:r w:rsidRPr="001025FF">
        <w:rPr>
          <w:rFonts w:eastAsia="Calibri" w:cs="Times New Roman"/>
        </w:rPr>
        <w:t xml:space="preserve">. Tento věnec současně tvoří nadpraží veškerých otvorů </w:t>
      </w:r>
      <w:r w:rsidR="00FD3993">
        <w:rPr>
          <w:rFonts w:eastAsia="Calibri" w:cs="Times New Roman"/>
        </w:rPr>
        <w:t xml:space="preserve">v obvodových stěnách. </w:t>
      </w:r>
      <w:r w:rsidR="001025FF">
        <w:rPr>
          <w:rFonts w:eastAsia="Calibri" w:cs="Times New Roman"/>
        </w:rPr>
        <w:t xml:space="preserve">Vybrané vnitřní příčky budou realizovány jako ztužující v tl. 175mm </w:t>
      </w:r>
      <w:r w:rsidR="002932F0">
        <w:rPr>
          <w:rFonts w:eastAsia="Calibri" w:cs="Times New Roman"/>
        </w:rPr>
        <w:t>včetně ztužujícího věnce v koruně zdiva</w:t>
      </w:r>
      <w:r w:rsidR="001025FF">
        <w:rPr>
          <w:rFonts w:eastAsia="Calibri" w:cs="Times New Roman"/>
        </w:rPr>
        <w:t xml:space="preserve"> s H.H. +</w:t>
      </w:r>
      <w:r w:rsidR="00987C32">
        <w:rPr>
          <w:rFonts w:eastAsia="Calibri" w:cs="Times New Roman"/>
        </w:rPr>
        <w:t>2,700. Výška vnitřního věnce bude proměnná od 200</w:t>
      </w:r>
      <w:r w:rsidR="002932F0">
        <w:rPr>
          <w:rFonts w:eastAsia="Calibri" w:cs="Times New Roman"/>
        </w:rPr>
        <w:t xml:space="preserve"> do 250 mm dle návazností v ASŘ – mění se výška spodní hrany.</w:t>
      </w:r>
    </w:p>
    <w:p w:rsidR="00D03171" w:rsidRDefault="00D03171" w:rsidP="00D03171">
      <w:r w:rsidRPr="001025FF">
        <w:t xml:space="preserve">Drážky a výklenky ve zděných stěnách budou prováděny dle ČSN EN 1996-1-1 (Eurokód 6), článek 8.6 – viz odst. </w:t>
      </w:r>
      <w:fldSimple w:instr=" REF _Ref55149386 \r \h  \* MERGEFORMAT ">
        <w:r w:rsidR="00D8576B">
          <w:t>6.1</w:t>
        </w:r>
      </w:fldSimple>
      <w:r w:rsidRPr="001025FF">
        <w:t>.</w:t>
      </w:r>
    </w:p>
    <w:p w:rsidR="006C4E22" w:rsidRPr="003B12A9" w:rsidRDefault="006C4E22" w:rsidP="00D03171"/>
    <w:p w:rsidR="007F0653" w:rsidRDefault="00D03171" w:rsidP="007F0653">
      <w:pPr>
        <w:pStyle w:val="Nadpis2"/>
        <w:numPr>
          <w:ilvl w:val="1"/>
          <w:numId w:val="1"/>
        </w:numPr>
        <w:ind w:left="578" w:hanging="578"/>
        <w:rPr>
          <w:rFonts w:eastAsia="Calibri"/>
        </w:rPr>
      </w:pPr>
      <w:bookmarkStart w:id="5" w:name="_Toc147739193"/>
      <w:r>
        <w:rPr>
          <w:rFonts w:eastAsia="Calibri"/>
        </w:rPr>
        <w:lastRenderedPageBreak/>
        <w:t>V</w:t>
      </w:r>
      <w:r w:rsidR="007F0653">
        <w:rPr>
          <w:rFonts w:eastAsia="Calibri"/>
        </w:rPr>
        <w:t>odorovné konstrukce</w:t>
      </w:r>
      <w:bookmarkEnd w:id="5"/>
      <w:r w:rsidR="005C77F4">
        <w:rPr>
          <w:rFonts w:eastAsia="Calibri"/>
        </w:rPr>
        <w:t xml:space="preserve"> </w:t>
      </w:r>
    </w:p>
    <w:p w:rsidR="006C4E22" w:rsidRPr="006C4E22" w:rsidRDefault="006C4E22" w:rsidP="006C4E22">
      <w:pPr>
        <w:pStyle w:val="Nadpis3"/>
        <w:rPr>
          <w:rFonts w:eastAsia="Calibri"/>
        </w:rPr>
      </w:pPr>
      <w:r>
        <w:rPr>
          <w:rFonts w:eastAsia="Calibri"/>
        </w:rPr>
        <w:t>Střešní vazníky</w:t>
      </w:r>
    </w:p>
    <w:p w:rsidR="0048179A" w:rsidRDefault="008417EE" w:rsidP="004034CB">
      <w:pPr>
        <w:rPr>
          <w:lang w:eastAsia="cs-CZ"/>
        </w:rPr>
      </w:pPr>
      <w:r w:rsidRPr="008417EE">
        <w:rPr>
          <w:lang w:eastAsia="cs-CZ"/>
        </w:rPr>
        <w:t>Zastřešení objektů rodinných domů bude realizováno dřevěnými příhradovými vazníky. Vazníky jsou dimenzovány na světlý rozpon obvodových stěn 9,3 m a jsou roz</w:t>
      </w:r>
      <w:r w:rsidR="00FD3993">
        <w:rPr>
          <w:lang w:eastAsia="cs-CZ"/>
        </w:rPr>
        <w:t xml:space="preserve">místěné v pravidelné rozteči </w:t>
      </w:r>
      <w:r w:rsidR="006C4E22">
        <w:rPr>
          <w:lang w:eastAsia="cs-CZ"/>
        </w:rPr>
        <w:t xml:space="preserve">od 0,9 do </w:t>
      </w:r>
      <w:r w:rsidR="00FD3993">
        <w:rPr>
          <w:lang w:eastAsia="cs-CZ"/>
        </w:rPr>
        <w:t>1,15</w:t>
      </w:r>
      <w:r w:rsidRPr="008417EE">
        <w:rPr>
          <w:lang w:eastAsia="cs-CZ"/>
        </w:rPr>
        <w:t> m. Sklon horního pás</w:t>
      </w:r>
      <w:r w:rsidR="005C77F4">
        <w:rPr>
          <w:lang w:eastAsia="cs-CZ"/>
        </w:rPr>
        <w:t>u</w:t>
      </w:r>
      <w:r w:rsidRPr="008417EE">
        <w:rPr>
          <w:lang w:eastAsia="cs-CZ"/>
        </w:rPr>
        <w:t xml:space="preserve"> vazníků je stanoven na 15°. Horní i spodní pás příhradového nosníku bude tvořen profily </w:t>
      </w:r>
      <w:r w:rsidR="005C77F4">
        <w:rPr>
          <w:lang w:eastAsia="cs-CZ"/>
        </w:rPr>
        <w:t xml:space="preserve">z rostlého dřeva třídy C24 velikosti </w:t>
      </w:r>
      <w:r w:rsidRPr="008417EE">
        <w:rPr>
          <w:lang w:eastAsia="cs-CZ"/>
        </w:rPr>
        <w:t xml:space="preserve">100/180, </w:t>
      </w:r>
      <w:r w:rsidR="00EE7ECF" w:rsidRPr="00F2537E">
        <w:rPr>
          <w:lang w:eastAsia="cs-CZ"/>
        </w:rPr>
        <w:t xml:space="preserve">stejného profilu budou také </w:t>
      </w:r>
      <w:r w:rsidRPr="00F2537E">
        <w:rPr>
          <w:lang w:eastAsia="cs-CZ"/>
        </w:rPr>
        <w:t xml:space="preserve">diagonály a </w:t>
      </w:r>
      <w:r w:rsidR="005C77F4" w:rsidRPr="00F2537E">
        <w:rPr>
          <w:lang w:eastAsia="cs-CZ"/>
        </w:rPr>
        <w:t>svislice</w:t>
      </w:r>
      <w:r w:rsidRPr="008417EE">
        <w:rPr>
          <w:lang w:eastAsia="cs-CZ"/>
        </w:rPr>
        <w:t>.</w:t>
      </w:r>
      <w:r>
        <w:rPr>
          <w:lang w:eastAsia="cs-CZ"/>
        </w:rPr>
        <w:t xml:space="preserve"> </w:t>
      </w:r>
      <w:r w:rsidR="005C77F4">
        <w:rPr>
          <w:lang w:eastAsia="cs-CZ"/>
        </w:rPr>
        <w:t>Délka uložení příhradového vazníku n</w:t>
      </w:r>
      <w:r w:rsidR="006C4E22">
        <w:rPr>
          <w:lang w:eastAsia="cs-CZ"/>
        </w:rPr>
        <w:t xml:space="preserve">a obručový věnec bude </w:t>
      </w:r>
      <w:r w:rsidR="005C77F4">
        <w:rPr>
          <w:lang w:eastAsia="cs-CZ"/>
        </w:rPr>
        <w:t xml:space="preserve">200 mm. </w:t>
      </w:r>
      <w:r w:rsidR="006C4E22">
        <w:rPr>
          <w:lang w:eastAsia="cs-CZ"/>
        </w:rPr>
        <w:t xml:space="preserve">Uložení je provedeno na pevný kloub z jedné strany a s umožněným vodorovným posunem na protilehlé straně. Posun bude vytvořen umístěním oválných otvorů – viz detaily konstrukce na výkresu č. D.1.2.09. </w:t>
      </w:r>
      <w:r w:rsidR="005C77F4">
        <w:rPr>
          <w:lang w:eastAsia="cs-CZ"/>
        </w:rPr>
        <w:t xml:space="preserve">Svislice jsou rozmístěny po délce vazníku </w:t>
      </w:r>
      <w:r w:rsidR="00FD3993">
        <w:rPr>
          <w:lang w:eastAsia="cs-CZ"/>
        </w:rPr>
        <w:t>osově</w:t>
      </w:r>
      <w:r w:rsidR="005C77F4">
        <w:rPr>
          <w:lang w:eastAsia="cs-CZ"/>
        </w:rPr>
        <w:t xml:space="preserve"> po 1580 mm. </w:t>
      </w:r>
      <w:r w:rsidR="00C24BAD" w:rsidRPr="00F2537E">
        <w:rPr>
          <w:lang w:eastAsia="cs-CZ"/>
        </w:rPr>
        <w:t xml:space="preserve">Styčníkové spoje provedeny vložením plechu </w:t>
      </w:r>
      <w:r w:rsidR="00F2537E" w:rsidRPr="00F2537E">
        <w:rPr>
          <w:lang w:eastAsia="cs-CZ"/>
        </w:rPr>
        <w:t>P8 do vyfrézované drážky</w:t>
      </w:r>
      <w:r w:rsidR="00F2537E">
        <w:rPr>
          <w:lang w:eastAsia="cs-CZ"/>
        </w:rPr>
        <w:t xml:space="preserve">, spojené svorníky </w:t>
      </w:r>
      <w:r w:rsidR="006C4E22">
        <w:rPr>
          <w:lang w:eastAsia="cs-CZ"/>
        </w:rPr>
        <w:t>M12-8.8</w:t>
      </w:r>
      <w:r w:rsidR="00C24BAD" w:rsidRPr="00F2537E">
        <w:rPr>
          <w:lang w:eastAsia="cs-CZ"/>
        </w:rPr>
        <w:t>.</w:t>
      </w:r>
      <w:r w:rsidR="00C24BAD">
        <w:rPr>
          <w:lang w:eastAsia="cs-CZ"/>
        </w:rPr>
        <w:t xml:space="preserve"> </w:t>
      </w:r>
      <w:r w:rsidR="005C77F4">
        <w:rPr>
          <w:lang w:eastAsia="cs-CZ"/>
        </w:rPr>
        <w:t xml:space="preserve">Na střeše budou rozmístěny fotovoltaické panely. </w:t>
      </w:r>
      <w:r w:rsidR="00FD3993">
        <w:rPr>
          <w:lang w:eastAsia="cs-CZ"/>
        </w:rPr>
        <w:t>Prostor půdy (mezi vazníky) nebude využit</w:t>
      </w:r>
      <w:r w:rsidR="005C77F4">
        <w:rPr>
          <w:lang w:eastAsia="cs-CZ"/>
        </w:rPr>
        <w:t xml:space="preserve"> ke skladování věcí.</w:t>
      </w:r>
    </w:p>
    <w:p w:rsidR="002932F0" w:rsidRDefault="00F2537E" w:rsidP="004034CB">
      <w:pPr>
        <w:rPr>
          <w:lang w:eastAsia="cs-CZ"/>
        </w:rPr>
      </w:pPr>
      <w:r w:rsidRPr="00497482">
        <w:rPr>
          <w:lang w:eastAsia="cs-CZ"/>
        </w:rPr>
        <w:t>S ohledem na koncept konstrukce je možné realizovat s</w:t>
      </w:r>
      <w:r w:rsidR="002932F0" w:rsidRPr="00497482">
        <w:rPr>
          <w:lang w:eastAsia="cs-CZ"/>
        </w:rPr>
        <w:t xml:space="preserve">tříšky </w:t>
      </w:r>
      <w:r w:rsidRPr="00497482">
        <w:rPr>
          <w:lang w:eastAsia="cs-CZ"/>
        </w:rPr>
        <w:t xml:space="preserve">maximálně </w:t>
      </w:r>
      <w:r w:rsidR="002932F0" w:rsidRPr="00497482">
        <w:rPr>
          <w:lang w:eastAsia="cs-CZ"/>
        </w:rPr>
        <w:t xml:space="preserve">s vyložením </w:t>
      </w:r>
      <w:r w:rsidR="00FD3993">
        <w:rPr>
          <w:lang w:eastAsia="cs-CZ"/>
        </w:rPr>
        <w:t>700 mm za vnější hranu konstrukce</w:t>
      </w:r>
      <w:r w:rsidR="002932F0" w:rsidRPr="00497482">
        <w:rPr>
          <w:lang w:eastAsia="cs-CZ"/>
        </w:rPr>
        <w:t>.</w:t>
      </w:r>
    </w:p>
    <w:p w:rsidR="006C4E22" w:rsidRDefault="006C4E22" w:rsidP="006C4E22">
      <w:pPr>
        <w:pStyle w:val="Nadpis3"/>
      </w:pPr>
      <w:r>
        <w:t>Věnce a překlady</w:t>
      </w:r>
    </w:p>
    <w:p w:rsidR="006C4E22" w:rsidRDefault="006C4E22" w:rsidP="006C4E22">
      <w:pPr>
        <w:rPr>
          <w:lang w:eastAsia="cs-CZ"/>
        </w:rPr>
      </w:pPr>
      <w:r>
        <w:rPr>
          <w:lang w:eastAsia="cs-CZ"/>
        </w:rPr>
        <w:t xml:space="preserve">Překlady vnějších otvorů jsou tvořeny ŽB věnci pod střešními vazníky. Výška ŽB věnců se pohybuje od 550 mm do 600 mm. Šíře dle umístění v konstrukci v návaznosti na požadavky ASŘ od 200 mm do 250 mm. Nad vstupem a ve štítech budou vytvořeny ŽB věnce atypického tvaru viz výkresová dokumentace. </w:t>
      </w:r>
      <w:r w:rsidR="002C14CB">
        <w:rPr>
          <w:lang w:eastAsia="cs-CZ"/>
        </w:rPr>
        <w:t>Další věnec vzniká nad vnitřními ztužujícími stěnami, v některých místech bude výškově uskočen, čímž respektuje prostorové požadavky v interiéru, blíže ve výkresové dokumentaci.</w:t>
      </w:r>
    </w:p>
    <w:p w:rsidR="006C4E22" w:rsidRDefault="006C4E22" w:rsidP="006C4E22">
      <w:pPr>
        <w:rPr>
          <w:lang w:eastAsia="cs-CZ"/>
        </w:rPr>
      </w:pPr>
      <w:r>
        <w:rPr>
          <w:lang w:eastAsia="cs-CZ"/>
        </w:rPr>
        <w:t xml:space="preserve">Překlady </w:t>
      </w:r>
      <w:r w:rsidR="002C14CB">
        <w:rPr>
          <w:lang w:eastAsia="cs-CZ"/>
        </w:rPr>
        <w:t xml:space="preserve">keramické </w:t>
      </w:r>
      <w:r>
        <w:rPr>
          <w:lang w:eastAsia="cs-CZ"/>
        </w:rPr>
        <w:t xml:space="preserve">v rámci statické části byly </w:t>
      </w:r>
      <w:r w:rsidR="002C14CB">
        <w:rPr>
          <w:lang w:eastAsia="cs-CZ"/>
        </w:rPr>
        <w:t>navrženy</w:t>
      </w:r>
      <w:r>
        <w:rPr>
          <w:lang w:eastAsia="cs-CZ"/>
        </w:rPr>
        <w:t xml:space="preserve"> do ztužujících stěn. Překlady nesou převážně pouze vlastní </w:t>
      </w:r>
      <w:r w:rsidR="002C14CB">
        <w:rPr>
          <w:lang w:eastAsia="cs-CZ"/>
        </w:rPr>
        <w:t>tíhu,</w:t>
      </w:r>
      <w:r>
        <w:rPr>
          <w:lang w:eastAsia="cs-CZ"/>
        </w:rPr>
        <w:t xml:space="preserve"> případně nevýznamnou </w:t>
      </w:r>
      <w:r w:rsidR="002C14CB">
        <w:rPr>
          <w:lang w:eastAsia="cs-CZ"/>
        </w:rPr>
        <w:t>část zatížení ztužujícího zdiva např. nad prostupy ve zdivu.</w:t>
      </w:r>
    </w:p>
    <w:p w:rsidR="00BF10FA" w:rsidRDefault="00BF10FA" w:rsidP="00BF10FA">
      <w:pPr>
        <w:pStyle w:val="Nadpis3"/>
      </w:pPr>
      <w:r>
        <w:t>Stříšky nad vstupy</w:t>
      </w:r>
    </w:p>
    <w:p w:rsidR="00BF10FA" w:rsidRDefault="00BF10FA" w:rsidP="00BF10FA">
      <w:pPr>
        <w:rPr>
          <w:lang w:eastAsia="cs-CZ"/>
        </w:rPr>
      </w:pPr>
      <w:r>
        <w:rPr>
          <w:lang w:eastAsia="cs-CZ"/>
        </w:rPr>
        <w:t xml:space="preserve">Nad </w:t>
      </w:r>
      <w:r w:rsidR="00C27DC6">
        <w:rPr>
          <w:lang w:eastAsia="cs-CZ"/>
        </w:rPr>
        <w:t xml:space="preserve">vstupními dveřmi do objektu a </w:t>
      </w:r>
      <w:r>
        <w:rPr>
          <w:lang w:eastAsia="cs-CZ"/>
        </w:rPr>
        <w:t xml:space="preserve">terasu budou realizované subtilní stříšky z ocelových plechů </w:t>
      </w:r>
      <w:r w:rsidR="00C27DC6">
        <w:rPr>
          <w:lang w:eastAsia="cs-CZ"/>
        </w:rPr>
        <w:t xml:space="preserve">tloušťky </w:t>
      </w:r>
      <w:r>
        <w:rPr>
          <w:lang w:eastAsia="cs-CZ"/>
        </w:rPr>
        <w:t>12</w:t>
      </w:r>
      <w:r w:rsidR="00C27DC6">
        <w:rPr>
          <w:lang w:eastAsia="cs-CZ"/>
        </w:rPr>
        <w:t>mm</w:t>
      </w:r>
      <w:r>
        <w:rPr>
          <w:lang w:eastAsia="cs-CZ"/>
        </w:rPr>
        <w:t xml:space="preserve">. </w:t>
      </w:r>
      <w:r w:rsidR="00C27DC6">
        <w:rPr>
          <w:lang w:eastAsia="cs-CZ"/>
        </w:rPr>
        <w:t>Délky plechů budou 1,5 m a 3,4 m. Délka překonzolování za vnější hranu ŽB nadpraží bude 700 mm. Kotvení bude řešeno navařením úhelníků na horní hranu plechu. Mezi železobetonovým nadpražím/věncem bude vložena izolace navržena proti stlačení při 600kPa. Rozteče kotevní bodů budou od sebe vzdálené cca 1,1 m. Využity budou běžné kotvy do betonu M12</w:t>
      </w:r>
      <w:r w:rsidR="0015504D">
        <w:rPr>
          <w:lang w:eastAsia="cs-CZ"/>
        </w:rPr>
        <w:t>,</w:t>
      </w:r>
      <w:r w:rsidR="00C27DC6">
        <w:rPr>
          <w:lang w:eastAsia="cs-CZ"/>
        </w:rPr>
        <w:t xml:space="preserve"> vloženy do </w:t>
      </w:r>
      <w:r w:rsidR="0015504D">
        <w:rPr>
          <w:lang w:eastAsia="cs-CZ"/>
        </w:rPr>
        <w:t xml:space="preserve">předvrtaného vrtu, které bude vyplněno </w:t>
      </w:r>
      <w:r w:rsidR="00C27DC6">
        <w:rPr>
          <w:lang w:eastAsia="cs-CZ"/>
        </w:rPr>
        <w:t>chemickým lepidlem.</w:t>
      </w:r>
    </w:p>
    <w:p w:rsidR="00C27DC6" w:rsidRDefault="00C27DC6">
      <w:pPr>
        <w:spacing w:after="200" w:line="276" w:lineRule="auto"/>
        <w:jc w:val="left"/>
        <w:rPr>
          <w:lang w:eastAsia="cs-CZ"/>
        </w:rPr>
      </w:pPr>
      <w:r>
        <w:rPr>
          <w:lang w:eastAsia="cs-CZ"/>
        </w:rPr>
        <w:br w:type="page"/>
      </w:r>
    </w:p>
    <w:p w:rsidR="00C65FF7" w:rsidRDefault="00C65FF7" w:rsidP="00AA576A">
      <w:pPr>
        <w:pStyle w:val="Nadpis2"/>
        <w:rPr>
          <w:rFonts w:eastAsia="Calibri"/>
        </w:rPr>
      </w:pPr>
      <w:bookmarkStart w:id="6" w:name="_Toc147739194"/>
      <w:r w:rsidRPr="00DD4B62">
        <w:rPr>
          <w:rFonts w:eastAsia="Calibri"/>
        </w:rPr>
        <w:lastRenderedPageBreak/>
        <w:t>Dilatace</w:t>
      </w:r>
      <w:bookmarkEnd w:id="6"/>
    </w:p>
    <w:p w:rsidR="007A097E" w:rsidRDefault="007A097E" w:rsidP="007A097E">
      <w:pPr>
        <w:pStyle w:val="Nadpis4"/>
      </w:pPr>
      <w:r>
        <w:t>Objektová dilatace</w:t>
      </w:r>
    </w:p>
    <w:p w:rsidR="00F75FCC" w:rsidRDefault="007A097E" w:rsidP="00031609">
      <w:r>
        <w:t>N</w:t>
      </w:r>
      <w:r w:rsidR="00FE63EF">
        <w:t>ové</w:t>
      </w:r>
      <w:r>
        <w:t xml:space="preserve"> </w:t>
      </w:r>
      <w:r w:rsidR="00C82412">
        <w:t>rodinn</w:t>
      </w:r>
      <w:r w:rsidR="00FE63EF">
        <w:t>é</w:t>
      </w:r>
      <w:r w:rsidR="00C82412">
        <w:t xml:space="preserve"> d</w:t>
      </w:r>
      <w:r w:rsidR="00FE63EF">
        <w:t>omy</w:t>
      </w:r>
      <w:r w:rsidR="00C82412">
        <w:t xml:space="preserve"> </w:t>
      </w:r>
      <w:r w:rsidR="00E8601B">
        <w:t xml:space="preserve">tvoří </w:t>
      </w:r>
      <w:r w:rsidR="00FE63EF">
        <w:t xml:space="preserve">vždy </w:t>
      </w:r>
      <w:r w:rsidR="00E8601B">
        <w:t>jeden dilatační celek.</w:t>
      </w:r>
      <w:r>
        <w:t xml:space="preserve"> Od stávajících objektů je oddělen dilatační mezerou. Přístavba je ke stávajícímu objektu je napojena přímo</w:t>
      </w:r>
      <w:r w:rsidR="0017759A">
        <w:t>, bez dilatace.</w:t>
      </w:r>
    </w:p>
    <w:p w:rsidR="007A097E" w:rsidRDefault="007A097E" w:rsidP="007A097E">
      <w:pPr>
        <w:pStyle w:val="Nadpis4"/>
      </w:pPr>
      <w:r>
        <w:t>Dílčí dilatace</w:t>
      </w:r>
    </w:p>
    <w:p w:rsidR="007A097E" w:rsidRDefault="007A097E" w:rsidP="007A097E">
      <w:r>
        <w:t>Podružné železobetonové a betonové konstrukce budou dilatovány dle tab 4.3 v ČSN 73 1201:</w:t>
      </w:r>
      <w:r>
        <w:rPr>
          <w:noProof/>
          <w:lang w:eastAsia="cs-CZ"/>
        </w:rPr>
        <w:drawing>
          <wp:inline distT="0" distB="0" distL="0" distR="0">
            <wp:extent cx="5217184" cy="2919773"/>
            <wp:effectExtent l="19050" t="0" r="2516"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cstate="print"/>
                    <a:srcRect l="50944" t="27642" r="12720" b="12551"/>
                    <a:stretch/>
                  </pic:blipFill>
                  <pic:spPr bwMode="auto">
                    <a:xfrm>
                      <a:off x="0" y="0"/>
                      <a:ext cx="5257636" cy="2942412"/>
                    </a:xfrm>
                    <a:prstGeom prst="rect">
                      <a:avLst/>
                    </a:prstGeom>
                    <a:ln>
                      <a:noFill/>
                    </a:ln>
                    <a:extLst>
                      <a:ext uri="{53640926-AAD7-44D8-BBD7-CCE9431645EC}">
                        <a14:shadowObscured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inline>
        </w:drawing>
      </w:r>
    </w:p>
    <w:p w:rsidR="00167255" w:rsidRPr="00DD4B62" w:rsidRDefault="00B53785" w:rsidP="00167255">
      <w:pPr>
        <w:pStyle w:val="Nadpis2"/>
        <w:spacing w:before="0" w:after="0" w:line="360" w:lineRule="auto"/>
      </w:pPr>
      <w:bookmarkStart w:id="7" w:name="_Toc147739195"/>
      <w:r w:rsidRPr="00DD4B62">
        <w:t>Použité m</w:t>
      </w:r>
      <w:r w:rsidR="00167255" w:rsidRPr="00DD4B62">
        <w:t>ateriály</w:t>
      </w:r>
      <w:bookmarkEnd w:id="7"/>
    </w:p>
    <w:p w:rsidR="00167255" w:rsidRPr="00DD4B62" w:rsidRDefault="00167255" w:rsidP="00167255">
      <w:r w:rsidRPr="00DD4B62">
        <w:t>Nosná konstrukce je navržena z</w:t>
      </w:r>
      <w:r w:rsidR="00D93BF2" w:rsidRPr="00DD4B62">
        <w:t> těchto materiálů:</w:t>
      </w:r>
    </w:p>
    <w:p w:rsidR="00AA576A" w:rsidRDefault="00D93BF2" w:rsidP="00AC0C5F">
      <w:pPr>
        <w:numPr>
          <w:ilvl w:val="0"/>
          <w:numId w:val="5"/>
        </w:numPr>
        <w:tabs>
          <w:tab w:val="left" w:pos="567"/>
        </w:tabs>
        <w:spacing w:after="0"/>
        <w:jc w:val="left"/>
        <w:rPr>
          <w:rFonts w:eastAsia="Calibri" w:cs="Times New Roman"/>
        </w:rPr>
      </w:pPr>
      <w:r w:rsidRPr="00534E45">
        <w:rPr>
          <w:rFonts w:eastAsia="Calibri" w:cs="Times New Roman"/>
        </w:rPr>
        <w:t>Zdivo</w:t>
      </w:r>
      <w:r w:rsidR="003B3AE2" w:rsidRPr="00534E45">
        <w:rPr>
          <w:rFonts w:eastAsia="Calibri" w:cs="Times New Roman"/>
        </w:rPr>
        <w:t xml:space="preserve"> </w:t>
      </w:r>
      <w:r w:rsidR="00D52DD5" w:rsidRPr="00534E45">
        <w:rPr>
          <w:rFonts w:eastAsia="Calibri" w:cs="Times New Roman"/>
        </w:rPr>
        <w:t>pro nosné</w:t>
      </w:r>
      <w:r w:rsidR="003B3AE2" w:rsidRPr="00534E45">
        <w:rPr>
          <w:rFonts w:eastAsia="Calibri" w:cs="Times New Roman"/>
        </w:rPr>
        <w:t xml:space="preserve"> konstrukce</w:t>
      </w:r>
      <w:r w:rsidRPr="00534E45">
        <w:rPr>
          <w:rFonts w:eastAsia="Calibri" w:cs="Times New Roman"/>
        </w:rPr>
        <w:t xml:space="preserve"> </w:t>
      </w:r>
      <w:r w:rsidR="006E5296" w:rsidRPr="00534E45">
        <w:rPr>
          <w:rFonts w:eastAsia="Calibri" w:cs="Times New Roman"/>
        </w:rPr>
        <w:t>–</w:t>
      </w:r>
      <w:r w:rsidR="004506F1">
        <w:rPr>
          <w:rFonts w:eastAsia="Calibri" w:cs="Times New Roman"/>
        </w:rPr>
        <w:t xml:space="preserve"> keramické</w:t>
      </w:r>
      <w:r w:rsidR="006E5296" w:rsidRPr="00534E45">
        <w:rPr>
          <w:rFonts w:eastAsia="Calibri" w:cs="Times New Roman"/>
        </w:rPr>
        <w:t xml:space="preserve"> </w:t>
      </w:r>
      <w:r w:rsidR="00C52E5F" w:rsidRPr="00534E45">
        <w:rPr>
          <w:rFonts w:eastAsia="Calibri" w:cs="Times New Roman"/>
        </w:rPr>
        <w:t xml:space="preserve">bloky </w:t>
      </w:r>
      <w:r w:rsidR="004506F1">
        <w:rPr>
          <w:rFonts w:eastAsia="Calibri" w:cs="Times New Roman"/>
        </w:rPr>
        <w:t xml:space="preserve">pevnosti </w:t>
      </w:r>
      <w:r w:rsidR="008046DE">
        <w:rPr>
          <w:rFonts w:eastAsia="Calibri" w:cs="Times New Roman"/>
        </w:rPr>
        <w:t>P10</w:t>
      </w:r>
    </w:p>
    <w:p w:rsidR="008046DE" w:rsidRPr="00534E45" w:rsidRDefault="008046DE" w:rsidP="00AC0C5F">
      <w:pPr>
        <w:numPr>
          <w:ilvl w:val="0"/>
          <w:numId w:val="5"/>
        </w:numPr>
        <w:tabs>
          <w:tab w:val="left" w:pos="567"/>
        </w:tabs>
        <w:spacing w:after="0"/>
        <w:jc w:val="left"/>
        <w:rPr>
          <w:rFonts w:eastAsia="Calibri" w:cs="Times New Roman"/>
        </w:rPr>
      </w:pPr>
      <w:r>
        <w:rPr>
          <w:rFonts w:eastAsia="Calibri" w:cs="Times New Roman"/>
        </w:rPr>
        <w:t xml:space="preserve">Malta </w:t>
      </w:r>
      <w:r w:rsidR="007E15A2">
        <w:rPr>
          <w:rFonts w:eastAsia="Calibri" w:cs="Times New Roman"/>
        </w:rPr>
        <w:t>pro tenké spáry M10</w:t>
      </w:r>
    </w:p>
    <w:p w:rsidR="00127959" w:rsidRPr="00534E45" w:rsidRDefault="0004189F" w:rsidP="00AC0C5F">
      <w:pPr>
        <w:numPr>
          <w:ilvl w:val="0"/>
          <w:numId w:val="5"/>
        </w:numPr>
        <w:tabs>
          <w:tab w:val="left" w:pos="567"/>
        </w:tabs>
        <w:spacing w:after="0"/>
        <w:jc w:val="left"/>
        <w:rPr>
          <w:rFonts w:eastAsia="Calibri" w:cs="Times New Roman"/>
        </w:rPr>
      </w:pPr>
      <w:r w:rsidRPr="00534E45">
        <w:rPr>
          <w:rFonts w:eastAsia="Calibri" w:cs="Times New Roman"/>
        </w:rPr>
        <w:t xml:space="preserve">Beton </w:t>
      </w:r>
      <w:r w:rsidR="0032658A" w:rsidRPr="00534E45">
        <w:rPr>
          <w:rFonts w:eastAsia="Calibri" w:cs="Times New Roman"/>
        </w:rPr>
        <w:t>C2</w:t>
      </w:r>
      <w:r w:rsidR="007919CD" w:rsidRPr="00534E45">
        <w:rPr>
          <w:rFonts w:eastAsia="Calibri" w:cs="Times New Roman"/>
        </w:rPr>
        <w:t>5/30</w:t>
      </w:r>
      <w:r w:rsidR="006C3848" w:rsidRPr="00534E45">
        <w:rPr>
          <w:rFonts w:eastAsia="Calibri" w:cs="Times New Roman"/>
        </w:rPr>
        <w:t xml:space="preserve"> – </w:t>
      </w:r>
      <w:r w:rsidR="00534E45" w:rsidRPr="00534E45">
        <w:rPr>
          <w:rFonts w:eastAsia="Calibri" w:cs="Times New Roman"/>
        </w:rPr>
        <w:t>XC1 – věnce a nadpraží</w:t>
      </w:r>
    </w:p>
    <w:p w:rsidR="00534E45" w:rsidRPr="00534E45" w:rsidRDefault="00534E45" w:rsidP="00534E45">
      <w:pPr>
        <w:numPr>
          <w:ilvl w:val="0"/>
          <w:numId w:val="5"/>
        </w:numPr>
        <w:tabs>
          <w:tab w:val="left" w:pos="567"/>
        </w:tabs>
        <w:spacing w:after="0"/>
        <w:jc w:val="left"/>
        <w:rPr>
          <w:rFonts w:eastAsia="Calibri" w:cs="Times New Roman"/>
        </w:rPr>
      </w:pPr>
      <w:r w:rsidRPr="00534E45">
        <w:rPr>
          <w:rFonts w:eastAsia="Calibri" w:cs="Times New Roman"/>
        </w:rPr>
        <w:t>Beton C25/30 – XC4, XA1 – základová deska</w:t>
      </w:r>
      <w:r w:rsidR="006C4E22">
        <w:rPr>
          <w:rFonts w:eastAsia="Calibri" w:cs="Times New Roman"/>
        </w:rPr>
        <w:t>, základové pasy</w:t>
      </w:r>
    </w:p>
    <w:p w:rsidR="00AA576A" w:rsidRDefault="00E8601B" w:rsidP="00AC0C5F">
      <w:pPr>
        <w:numPr>
          <w:ilvl w:val="0"/>
          <w:numId w:val="5"/>
        </w:numPr>
        <w:tabs>
          <w:tab w:val="left" w:pos="567"/>
        </w:tabs>
        <w:spacing w:after="0"/>
        <w:jc w:val="left"/>
        <w:rPr>
          <w:rFonts w:eastAsia="Calibri" w:cs="Times New Roman"/>
        </w:rPr>
      </w:pPr>
      <w:r w:rsidRPr="00534E45">
        <w:rPr>
          <w:rFonts w:eastAsia="Calibri" w:cs="Times New Roman"/>
        </w:rPr>
        <w:t>Beton C16/20</w:t>
      </w:r>
      <w:r w:rsidR="00AA576A" w:rsidRPr="00534E45">
        <w:rPr>
          <w:rFonts w:eastAsia="Calibri" w:cs="Times New Roman"/>
        </w:rPr>
        <w:t xml:space="preserve"> – </w:t>
      </w:r>
      <w:r w:rsidR="00FA78D8" w:rsidRPr="00534E45">
        <w:rPr>
          <w:rFonts w:eastAsia="Calibri" w:cs="Times New Roman"/>
        </w:rPr>
        <w:t>nevyztužené konstrukce</w:t>
      </w:r>
    </w:p>
    <w:p w:rsidR="00FA238A" w:rsidRPr="00534E45" w:rsidRDefault="00FA238A" w:rsidP="00AC0C5F">
      <w:pPr>
        <w:numPr>
          <w:ilvl w:val="0"/>
          <w:numId w:val="5"/>
        </w:numPr>
        <w:tabs>
          <w:tab w:val="left" w:pos="567"/>
        </w:tabs>
        <w:spacing w:after="0"/>
        <w:jc w:val="left"/>
        <w:rPr>
          <w:rFonts w:eastAsia="Calibri" w:cs="Times New Roman"/>
        </w:rPr>
      </w:pPr>
      <w:r w:rsidRPr="00534E45">
        <w:rPr>
          <w:rFonts w:eastAsia="Calibri" w:cs="Times New Roman"/>
        </w:rPr>
        <w:t>Betonářská výztuž B500B</w:t>
      </w:r>
    </w:p>
    <w:p w:rsidR="00E8601B" w:rsidRPr="00534E45" w:rsidRDefault="00E8601B" w:rsidP="00AC0C5F">
      <w:pPr>
        <w:pStyle w:val="Default"/>
        <w:numPr>
          <w:ilvl w:val="0"/>
          <w:numId w:val="5"/>
        </w:numPr>
        <w:rPr>
          <w:sz w:val="22"/>
          <w:szCs w:val="22"/>
        </w:rPr>
      </w:pPr>
      <w:r w:rsidRPr="00534E45">
        <w:rPr>
          <w:sz w:val="22"/>
          <w:szCs w:val="22"/>
        </w:rPr>
        <w:t>Konstrukční ocel S235</w:t>
      </w:r>
      <w:r w:rsidR="008C0795">
        <w:rPr>
          <w:sz w:val="22"/>
          <w:szCs w:val="22"/>
        </w:rPr>
        <w:t xml:space="preserve"> – styčníkové plechy</w:t>
      </w:r>
    </w:p>
    <w:p w:rsidR="00E8601B" w:rsidRPr="00534E45" w:rsidRDefault="008C0795" w:rsidP="00AC0C5F">
      <w:pPr>
        <w:pStyle w:val="Default"/>
        <w:numPr>
          <w:ilvl w:val="0"/>
          <w:numId w:val="5"/>
        </w:numPr>
        <w:rPr>
          <w:sz w:val="22"/>
          <w:szCs w:val="22"/>
        </w:rPr>
      </w:pPr>
      <w:r>
        <w:rPr>
          <w:sz w:val="22"/>
          <w:szCs w:val="22"/>
        </w:rPr>
        <w:t>R</w:t>
      </w:r>
      <w:r w:rsidR="00E8601B" w:rsidRPr="00534E45">
        <w:rPr>
          <w:sz w:val="22"/>
          <w:szCs w:val="22"/>
        </w:rPr>
        <w:t>ostlé dřevo C24 (</w:t>
      </w:r>
      <w:r w:rsidR="00BE08B1" w:rsidRPr="00534E45">
        <w:rPr>
          <w:sz w:val="22"/>
          <w:szCs w:val="22"/>
        </w:rPr>
        <w:t xml:space="preserve">příp. </w:t>
      </w:r>
      <w:r w:rsidR="00E8601B" w:rsidRPr="00534E45">
        <w:rPr>
          <w:sz w:val="22"/>
          <w:szCs w:val="22"/>
        </w:rPr>
        <w:t>Gl24h)</w:t>
      </w:r>
    </w:p>
    <w:p w:rsidR="00D93BF2" w:rsidRPr="00DD4B62" w:rsidRDefault="00D93BF2" w:rsidP="008046DE">
      <w:pPr>
        <w:pStyle w:val="Nadpis1"/>
        <w:spacing w:before="240"/>
      </w:pPr>
      <w:bookmarkStart w:id="8" w:name="_Toc147739196"/>
      <w:r w:rsidRPr="00DD4B62">
        <w:t>Zatížení a limitní deformace konstrukce</w:t>
      </w:r>
      <w:bookmarkEnd w:id="8"/>
    </w:p>
    <w:p w:rsidR="00D40CF7" w:rsidRPr="00DD4B62" w:rsidRDefault="00D40CF7" w:rsidP="00D40CF7">
      <w:r w:rsidRPr="00DD4B62">
        <w:t>Přesná velikost zatížení je vyspecifikována ve statickém výpočtu. Zatížení bylo stanoveno na základě souboru norem ČSN EN 1991-X (Eurokód 1). Objekt bude zatížen tímto zatížením:</w:t>
      </w:r>
    </w:p>
    <w:p w:rsidR="00D40CF7" w:rsidRPr="00DD4B62" w:rsidRDefault="00D40CF7" w:rsidP="00AC0C5F">
      <w:pPr>
        <w:pStyle w:val="Nadpis2"/>
        <w:numPr>
          <w:ilvl w:val="1"/>
          <w:numId w:val="1"/>
        </w:numPr>
        <w:ind w:left="578" w:hanging="578"/>
      </w:pPr>
      <w:bookmarkStart w:id="9" w:name="_Použité_podklady"/>
      <w:bookmarkStart w:id="10" w:name="_Ref222138023"/>
      <w:bookmarkStart w:id="11" w:name="_Toc147739197"/>
      <w:bookmarkEnd w:id="9"/>
      <w:r w:rsidRPr="00DD4B62">
        <w:t>Stálá zatížení</w:t>
      </w:r>
      <w:bookmarkEnd w:id="10"/>
      <w:bookmarkEnd w:id="11"/>
    </w:p>
    <w:p w:rsidR="002C382E" w:rsidRDefault="00D40CF7" w:rsidP="0073702F">
      <w:r w:rsidRPr="00DD4B62">
        <w:t xml:space="preserve">Vychází z vlastní tíhy nosné konstrukce a z tíhy použitých souvrství podlah, podhledů, stěn atd. </w:t>
      </w:r>
      <w:r w:rsidR="00FD3AB3" w:rsidRPr="00DD4B62">
        <w:t>Přesná specifikace zatížení viz statický výpočet.</w:t>
      </w:r>
    </w:p>
    <w:p w:rsidR="0015504D" w:rsidRPr="00DD4B62" w:rsidRDefault="0015504D" w:rsidP="0073702F"/>
    <w:p w:rsidR="00D40CF7" w:rsidRPr="00DD4B62" w:rsidRDefault="00D40CF7" w:rsidP="008046DE">
      <w:pPr>
        <w:pStyle w:val="Nadpis2"/>
        <w:numPr>
          <w:ilvl w:val="1"/>
          <w:numId w:val="1"/>
        </w:numPr>
        <w:spacing w:after="0"/>
        <w:ind w:left="578" w:hanging="578"/>
      </w:pPr>
      <w:bookmarkStart w:id="12" w:name="_Toc147739198"/>
      <w:r w:rsidRPr="00DD4B62">
        <w:lastRenderedPageBreak/>
        <w:t>Proměnná zatížení</w:t>
      </w:r>
      <w:bookmarkEnd w:id="12"/>
    </w:p>
    <w:p w:rsidR="00D40CF7" w:rsidRPr="00DD4B62" w:rsidRDefault="00D40CF7" w:rsidP="008046DE">
      <w:pPr>
        <w:pStyle w:val="Nadpis3"/>
        <w:numPr>
          <w:ilvl w:val="2"/>
          <w:numId w:val="1"/>
        </w:numPr>
        <w:spacing w:before="120"/>
      </w:pPr>
      <w:r w:rsidRPr="00DD4B62">
        <w:t>Užitná zatížení</w:t>
      </w:r>
    </w:p>
    <w:p w:rsidR="006D6515" w:rsidRPr="00DD4B62" w:rsidRDefault="006D6515" w:rsidP="006D6515">
      <w:r w:rsidRPr="00DD4B62">
        <w:t>Užitná zatížení stropů budou uvažována charakteristickými hodnotami takto:</w:t>
      </w:r>
    </w:p>
    <w:p w:rsidR="004F04F0" w:rsidRPr="00DD4B62" w:rsidRDefault="004F04F0" w:rsidP="004F04F0">
      <w:pPr>
        <w:pStyle w:val="Odstavecseseznamem"/>
        <w:numPr>
          <w:ilvl w:val="0"/>
          <w:numId w:val="11"/>
        </w:numPr>
        <w:spacing w:after="0"/>
        <w:rPr>
          <w:rFonts w:cstheme="minorHAnsi"/>
        </w:rPr>
      </w:pPr>
      <w:r w:rsidRPr="00DD4B62">
        <w:rPr>
          <w:rFonts w:cstheme="minorHAnsi"/>
        </w:rPr>
        <w:t>Obytné plochy (kat.</w:t>
      </w:r>
      <w:r w:rsidR="00C81341">
        <w:rPr>
          <w:rFonts w:cstheme="minorHAnsi"/>
        </w:rPr>
        <w:t xml:space="preserve"> </w:t>
      </w:r>
      <w:r w:rsidRPr="00DD4B62">
        <w:rPr>
          <w:rFonts w:cstheme="minorHAnsi"/>
        </w:rPr>
        <w:t>A dle ČSN EN 1991-1-1):</w:t>
      </w:r>
    </w:p>
    <w:p w:rsidR="004F04F0" w:rsidRPr="00DD4B62" w:rsidRDefault="004F04F0" w:rsidP="004F04F0">
      <w:pPr>
        <w:pStyle w:val="Odstavecseseznamem"/>
        <w:numPr>
          <w:ilvl w:val="0"/>
          <w:numId w:val="10"/>
        </w:numPr>
        <w:spacing w:after="0"/>
        <w:ind w:left="1843" w:hanging="425"/>
        <w:rPr>
          <w:rFonts w:cstheme="minorHAnsi"/>
        </w:rPr>
      </w:pPr>
      <w:r w:rsidRPr="00DD4B62">
        <w:rPr>
          <w:rFonts w:cstheme="minorHAnsi"/>
        </w:rPr>
        <w:t xml:space="preserve">plošné zatížení </w:t>
      </w:r>
      <w:r w:rsidRPr="00DD4B62">
        <w:rPr>
          <w:rFonts w:cstheme="minorHAnsi"/>
          <w:b/>
          <w:i/>
        </w:rPr>
        <w:t>q</w:t>
      </w:r>
      <w:r w:rsidRPr="00DD4B62">
        <w:rPr>
          <w:rFonts w:cstheme="minorHAnsi"/>
          <w:b/>
          <w:i/>
          <w:vertAlign w:val="subscript"/>
        </w:rPr>
        <w:t>k</w:t>
      </w:r>
      <w:r w:rsidRPr="00DD4B62">
        <w:rPr>
          <w:rFonts w:cstheme="minorHAnsi"/>
          <w:b/>
          <w:i/>
        </w:rPr>
        <w:t xml:space="preserve"> = 1,50 kN/m</w:t>
      </w:r>
      <w:r w:rsidRPr="00DD4B62">
        <w:rPr>
          <w:rFonts w:cstheme="minorHAnsi"/>
          <w:b/>
          <w:i/>
          <w:vertAlign w:val="superscript"/>
        </w:rPr>
        <w:t>2</w:t>
      </w:r>
      <w:r w:rsidRPr="00DD4B62">
        <w:rPr>
          <w:rFonts w:cstheme="minorHAnsi"/>
        </w:rPr>
        <w:t xml:space="preserve">, </w:t>
      </w:r>
    </w:p>
    <w:p w:rsidR="004F04F0" w:rsidRDefault="004F04F0" w:rsidP="004F04F0">
      <w:pPr>
        <w:pStyle w:val="Odstavecseseznamem"/>
        <w:spacing w:after="0"/>
        <w:ind w:left="1843"/>
        <w:rPr>
          <w:rFonts w:cstheme="minorHAnsi"/>
        </w:rPr>
      </w:pPr>
      <w:r w:rsidRPr="00DD4B62">
        <w:rPr>
          <w:rFonts w:cstheme="minorHAnsi"/>
        </w:rPr>
        <w:t xml:space="preserve">nebo bodové </w:t>
      </w:r>
      <w:r w:rsidRPr="00DD4B62">
        <w:rPr>
          <w:rFonts w:cstheme="minorHAnsi"/>
          <w:b/>
          <w:i/>
        </w:rPr>
        <w:t>Q</w:t>
      </w:r>
      <w:r w:rsidRPr="00DD4B62">
        <w:rPr>
          <w:rFonts w:cstheme="minorHAnsi"/>
          <w:b/>
          <w:i/>
          <w:vertAlign w:val="subscript"/>
        </w:rPr>
        <w:t>k</w:t>
      </w:r>
      <w:r w:rsidRPr="00DD4B62">
        <w:rPr>
          <w:rFonts w:cstheme="minorHAnsi"/>
          <w:b/>
          <w:i/>
        </w:rPr>
        <w:t xml:space="preserve"> = 2,00 kN</w:t>
      </w:r>
      <w:r w:rsidRPr="00DD4B62">
        <w:rPr>
          <w:rFonts w:cstheme="minorHAnsi"/>
          <w:i/>
        </w:rPr>
        <w:t xml:space="preserve"> </w:t>
      </w:r>
      <w:r w:rsidRPr="00DD4B62">
        <w:rPr>
          <w:rFonts w:cstheme="minorHAnsi"/>
        </w:rPr>
        <w:t>na ploše 50x50 mm.</w:t>
      </w:r>
    </w:p>
    <w:p w:rsidR="004F04F0" w:rsidRPr="00DD4B62" w:rsidRDefault="004F04F0" w:rsidP="004F04F0">
      <w:pPr>
        <w:pStyle w:val="Odstavecseseznamem"/>
        <w:numPr>
          <w:ilvl w:val="0"/>
          <w:numId w:val="11"/>
        </w:numPr>
        <w:spacing w:after="0"/>
        <w:rPr>
          <w:rFonts w:cstheme="minorHAnsi"/>
        </w:rPr>
      </w:pPr>
      <w:r w:rsidRPr="00DD4B62">
        <w:rPr>
          <w:rFonts w:cstheme="minorHAnsi"/>
        </w:rPr>
        <w:t>Střecha (střechy nepřístupné, s výjimkou údržby – kat.</w:t>
      </w:r>
      <w:r w:rsidR="00C81341">
        <w:rPr>
          <w:rFonts w:cstheme="minorHAnsi"/>
        </w:rPr>
        <w:t xml:space="preserve"> </w:t>
      </w:r>
      <w:r w:rsidRPr="00DD4B62">
        <w:rPr>
          <w:rFonts w:cstheme="minorHAnsi"/>
        </w:rPr>
        <w:t>H dle ČSN EN 1991-1-1):</w:t>
      </w:r>
    </w:p>
    <w:p w:rsidR="004F04F0" w:rsidRPr="00DD4B62" w:rsidRDefault="004F04F0" w:rsidP="004F04F0">
      <w:pPr>
        <w:pStyle w:val="Odstavecseseznamem"/>
        <w:numPr>
          <w:ilvl w:val="0"/>
          <w:numId w:val="9"/>
        </w:numPr>
        <w:spacing w:after="0"/>
        <w:ind w:left="1843" w:hanging="427"/>
        <w:rPr>
          <w:rFonts w:cstheme="minorHAnsi"/>
        </w:rPr>
      </w:pPr>
      <w:r w:rsidRPr="00DD4B62">
        <w:rPr>
          <w:rFonts w:cstheme="minorHAnsi"/>
        </w:rPr>
        <w:t xml:space="preserve">plošné zatížení </w:t>
      </w:r>
      <w:r w:rsidRPr="00DD4B62">
        <w:rPr>
          <w:rFonts w:cstheme="minorHAnsi"/>
          <w:b/>
          <w:i/>
        </w:rPr>
        <w:t>q</w:t>
      </w:r>
      <w:r w:rsidRPr="00DD4B62">
        <w:rPr>
          <w:rFonts w:cstheme="minorHAnsi"/>
          <w:b/>
          <w:i/>
          <w:vertAlign w:val="subscript"/>
        </w:rPr>
        <w:t>k</w:t>
      </w:r>
      <w:r w:rsidRPr="00DD4B62">
        <w:rPr>
          <w:rFonts w:cstheme="minorHAnsi"/>
          <w:b/>
          <w:i/>
        </w:rPr>
        <w:t xml:space="preserve"> = 0,75 kN/m</w:t>
      </w:r>
      <w:r w:rsidRPr="00DD4B62">
        <w:rPr>
          <w:rFonts w:cstheme="minorHAnsi"/>
          <w:b/>
          <w:i/>
          <w:vertAlign w:val="superscript"/>
        </w:rPr>
        <w:t>2</w:t>
      </w:r>
      <w:r w:rsidRPr="00DD4B62">
        <w:rPr>
          <w:rFonts w:cstheme="minorHAnsi"/>
        </w:rPr>
        <w:t xml:space="preserve"> (na ploše 10 m</w:t>
      </w:r>
      <w:r w:rsidRPr="00DD4B62">
        <w:rPr>
          <w:rFonts w:cstheme="minorHAnsi"/>
          <w:vertAlign w:val="superscript"/>
        </w:rPr>
        <w:t>2</w:t>
      </w:r>
      <w:r w:rsidRPr="00DD4B62">
        <w:rPr>
          <w:rFonts w:cstheme="minorHAnsi"/>
        </w:rPr>
        <w:t xml:space="preserve">), </w:t>
      </w:r>
    </w:p>
    <w:p w:rsidR="004F04F0" w:rsidRDefault="004F04F0" w:rsidP="004F04F0">
      <w:pPr>
        <w:pStyle w:val="Odstavecseseznamem"/>
        <w:spacing w:after="0"/>
        <w:ind w:left="1843"/>
        <w:rPr>
          <w:rFonts w:cstheme="minorHAnsi"/>
        </w:rPr>
      </w:pPr>
      <w:r w:rsidRPr="00DD4B62">
        <w:rPr>
          <w:rFonts w:cstheme="minorHAnsi"/>
        </w:rPr>
        <w:t xml:space="preserve">nebo bodové </w:t>
      </w:r>
      <w:r w:rsidRPr="00DD4B62">
        <w:rPr>
          <w:rFonts w:cstheme="minorHAnsi"/>
          <w:b/>
          <w:i/>
        </w:rPr>
        <w:t>Q</w:t>
      </w:r>
      <w:r w:rsidRPr="00DD4B62">
        <w:rPr>
          <w:rFonts w:cstheme="minorHAnsi"/>
          <w:b/>
          <w:i/>
          <w:vertAlign w:val="subscript"/>
        </w:rPr>
        <w:t>k</w:t>
      </w:r>
      <w:r w:rsidRPr="00DD4B62">
        <w:rPr>
          <w:rFonts w:cstheme="minorHAnsi"/>
          <w:b/>
          <w:i/>
        </w:rPr>
        <w:t xml:space="preserve"> = 1,00 kN</w:t>
      </w:r>
      <w:r w:rsidRPr="00DD4B62">
        <w:rPr>
          <w:rFonts w:cstheme="minorHAnsi"/>
          <w:i/>
        </w:rPr>
        <w:t xml:space="preserve"> </w:t>
      </w:r>
      <w:r w:rsidRPr="00DD4B62">
        <w:rPr>
          <w:rFonts w:cstheme="minorHAnsi"/>
        </w:rPr>
        <w:t>na ploše 50x50 mm.</w:t>
      </w:r>
    </w:p>
    <w:p w:rsidR="006D6515" w:rsidRPr="00DD4B62" w:rsidRDefault="006D6515" w:rsidP="006D6515">
      <w:pPr>
        <w:spacing w:after="0"/>
        <w:rPr>
          <w:rFonts w:cstheme="minorHAnsi"/>
        </w:rPr>
      </w:pPr>
    </w:p>
    <w:p w:rsidR="00E57C26" w:rsidRPr="00DD4B62" w:rsidRDefault="00D40CF7" w:rsidP="006D6515">
      <w:pPr>
        <w:tabs>
          <w:tab w:val="left" w:pos="8340"/>
        </w:tabs>
      </w:pPr>
      <w:r w:rsidRPr="00DD4B62">
        <w:t xml:space="preserve">Zatížení stanoveno dle ČSN EN 1991-1-1. Součinitel zatížení pro užitná zatížení je </w:t>
      </w:r>
      <w:r w:rsidRPr="00DD4B62">
        <w:rPr>
          <w:rFonts w:ascii="Symbol" w:hAnsi="Symbol"/>
        </w:rPr>
        <w:t></w:t>
      </w:r>
      <w:r w:rsidRPr="00DD4B62">
        <w:rPr>
          <w:vertAlign w:val="subscript"/>
        </w:rPr>
        <w:t>f</w:t>
      </w:r>
      <w:r w:rsidRPr="00DD4B62">
        <w:t>=1,5.</w:t>
      </w:r>
      <w:r w:rsidR="00E57C26" w:rsidRPr="00DD4B62">
        <w:tab/>
      </w:r>
    </w:p>
    <w:p w:rsidR="00D40CF7" w:rsidRPr="00DD4B62" w:rsidRDefault="00D40CF7" w:rsidP="00AC0C5F">
      <w:pPr>
        <w:pStyle w:val="Nadpis3"/>
        <w:numPr>
          <w:ilvl w:val="2"/>
          <w:numId w:val="1"/>
        </w:numPr>
      </w:pPr>
      <w:r w:rsidRPr="00DD4B62">
        <w:t>Zatížení sněhem</w:t>
      </w:r>
    </w:p>
    <w:p w:rsidR="00D40CF7" w:rsidRPr="00DD4B62" w:rsidRDefault="00D40CF7" w:rsidP="00D40CF7">
      <w:r w:rsidRPr="00DD4B62">
        <w:t xml:space="preserve">Objekt se nachází </w:t>
      </w:r>
      <w:r w:rsidR="001E6FBE" w:rsidRPr="00DD4B62">
        <w:t>v</w:t>
      </w:r>
      <w:r w:rsidR="00534E45">
        <w:t> obci Nová Paka</w:t>
      </w:r>
      <w:r w:rsidRPr="00DD4B62">
        <w:t xml:space="preserve">, </w:t>
      </w:r>
      <w:r w:rsidR="0019169F" w:rsidRPr="00DD4B62">
        <w:t>v</w:t>
      </w:r>
      <w:r w:rsidR="00F37F07" w:rsidRPr="00DD4B62">
        <w:t xml:space="preserve"> průměrné </w:t>
      </w:r>
      <w:r w:rsidR="0019169F" w:rsidRPr="00DD4B62">
        <w:t xml:space="preserve">nadmořské výšce </w:t>
      </w:r>
      <w:r w:rsidRPr="00DD4B62">
        <w:t xml:space="preserve">cca </w:t>
      </w:r>
      <w:r w:rsidR="00534E45">
        <w:t>427</w:t>
      </w:r>
      <w:r w:rsidR="00F37F07" w:rsidRPr="00DD4B62">
        <w:t xml:space="preserve"> m</w:t>
      </w:r>
      <w:r w:rsidR="00EB0BEA" w:rsidRPr="00DD4B62">
        <w:t xml:space="preserve"> </w:t>
      </w:r>
      <w:r w:rsidRPr="00DD4B62">
        <w:t>n.</w:t>
      </w:r>
      <w:r w:rsidR="00EB0BEA" w:rsidRPr="00DD4B62">
        <w:t xml:space="preserve"> </w:t>
      </w:r>
      <w:r w:rsidRPr="00DD4B62">
        <w:t xml:space="preserve">m. </w:t>
      </w:r>
      <w:r w:rsidR="008046DE">
        <w:t>H</w:t>
      </w:r>
      <w:r w:rsidRPr="00DD4B62">
        <w:t xml:space="preserve">odnota tíhy sněhu na zemi v místě stavby </w:t>
      </w:r>
      <w:r w:rsidR="0019169F" w:rsidRPr="00DD4B62">
        <w:t xml:space="preserve">podle sněhové mapy [2] </w:t>
      </w:r>
      <w:r w:rsidRPr="00DD4B62">
        <w:t>bude:</w:t>
      </w:r>
    </w:p>
    <w:p w:rsidR="0032658A" w:rsidRDefault="00D40CF7" w:rsidP="00D23384">
      <w:pPr>
        <w:ind w:firstLine="708"/>
        <w:rPr>
          <w:i/>
        </w:rPr>
      </w:pPr>
      <w:r w:rsidRPr="00DD4B62">
        <w:rPr>
          <w:i/>
        </w:rPr>
        <w:t>s</w:t>
      </w:r>
      <w:r w:rsidRPr="00DD4B62">
        <w:rPr>
          <w:i/>
          <w:vertAlign w:val="subscript"/>
        </w:rPr>
        <w:t xml:space="preserve"> </w:t>
      </w:r>
      <w:r w:rsidR="00DD761C" w:rsidRPr="00DD4B62">
        <w:rPr>
          <w:i/>
        </w:rPr>
        <w:t xml:space="preserve">= </w:t>
      </w:r>
      <w:r w:rsidR="00534E45">
        <w:rPr>
          <w:i/>
        </w:rPr>
        <w:t>2</w:t>
      </w:r>
      <w:r w:rsidR="00FA78D8">
        <w:rPr>
          <w:i/>
        </w:rPr>
        <w:t>,5</w:t>
      </w:r>
      <w:r w:rsidRPr="00DD4B62">
        <w:rPr>
          <w:i/>
        </w:rPr>
        <w:t xml:space="preserve"> kN/m</w:t>
      </w:r>
      <w:r w:rsidRPr="00DD4B62">
        <w:rPr>
          <w:i/>
          <w:vertAlign w:val="superscript"/>
        </w:rPr>
        <w:t>2</w:t>
      </w:r>
      <w:r w:rsidR="00345C25">
        <w:rPr>
          <w:i/>
        </w:rPr>
        <w:t>,</w:t>
      </w:r>
      <w:r w:rsidRPr="00DD4B62">
        <w:rPr>
          <w:i/>
        </w:rPr>
        <w:t xml:space="preserve"> </w:t>
      </w:r>
    </w:p>
    <w:p w:rsidR="00FA78D8" w:rsidRDefault="00FA78D8" w:rsidP="00FA78D8">
      <w:r w:rsidRPr="00FA78D8">
        <w:t>Typ krajiny: Normální</w:t>
      </w:r>
    </w:p>
    <w:p w:rsidR="00345C25" w:rsidRDefault="00345C25" w:rsidP="00345C25">
      <w:pPr>
        <w:ind w:firstLine="708"/>
        <w:rPr>
          <w:i/>
        </w:rPr>
      </w:pPr>
      <w:r>
        <w:rPr>
          <w:i/>
        </w:rPr>
        <w:t>c</w:t>
      </w:r>
      <w:r>
        <w:rPr>
          <w:i/>
          <w:vertAlign w:val="subscript"/>
        </w:rPr>
        <w:t>e</w:t>
      </w:r>
      <w:r w:rsidRPr="00DD4B62">
        <w:rPr>
          <w:i/>
          <w:vertAlign w:val="subscript"/>
        </w:rPr>
        <w:t xml:space="preserve"> </w:t>
      </w:r>
      <w:r w:rsidRPr="00DD4B62">
        <w:rPr>
          <w:i/>
        </w:rPr>
        <w:t xml:space="preserve">= </w:t>
      </w:r>
      <w:r>
        <w:rPr>
          <w:i/>
        </w:rPr>
        <w:t>1,</w:t>
      </w:r>
      <w:r w:rsidR="00040C60">
        <w:rPr>
          <w:i/>
        </w:rPr>
        <w:t>0 [-]</w:t>
      </w:r>
      <w:r>
        <w:rPr>
          <w:i/>
        </w:rPr>
        <w:t>,</w:t>
      </w:r>
      <w:r w:rsidRPr="00DD4B62">
        <w:rPr>
          <w:i/>
        </w:rPr>
        <w:t xml:space="preserve"> </w:t>
      </w:r>
    </w:p>
    <w:p w:rsidR="00345C25" w:rsidRDefault="00345C25" w:rsidP="00345C25">
      <w:r>
        <w:t>Tvarový součinitel</w:t>
      </w:r>
      <w:r w:rsidRPr="00FA78D8">
        <w:t xml:space="preserve">: </w:t>
      </w:r>
    </w:p>
    <w:p w:rsidR="00F2537E" w:rsidRDefault="00345C25" w:rsidP="00F2537E">
      <w:pPr>
        <w:ind w:firstLine="708"/>
        <w:rPr>
          <w:i/>
        </w:rPr>
      </w:pPr>
      <w:r>
        <w:rPr>
          <w:rFonts w:cstheme="minorHAnsi"/>
          <w:i/>
        </w:rPr>
        <w:t>µ</w:t>
      </w:r>
      <w:r w:rsidRPr="00DD4B62">
        <w:rPr>
          <w:i/>
          <w:vertAlign w:val="subscript"/>
        </w:rPr>
        <w:t xml:space="preserve"> </w:t>
      </w:r>
      <w:r w:rsidRPr="00DD4B62">
        <w:rPr>
          <w:i/>
        </w:rPr>
        <w:t xml:space="preserve">= </w:t>
      </w:r>
      <w:r w:rsidR="00534E45">
        <w:rPr>
          <w:i/>
        </w:rPr>
        <w:t>0,8</w:t>
      </w:r>
      <w:r w:rsidRPr="00DD4B62">
        <w:rPr>
          <w:i/>
        </w:rPr>
        <w:t xml:space="preserve"> </w:t>
      </w:r>
      <w:r w:rsidR="00040C60">
        <w:rPr>
          <w:i/>
        </w:rPr>
        <w:t>[-]</w:t>
      </w:r>
      <w:r w:rsidR="008046DE">
        <w:rPr>
          <w:i/>
        </w:rPr>
        <w:t>,</w:t>
      </w:r>
    </w:p>
    <w:p w:rsidR="008046DE" w:rsidRPr="00585D4B" w:rsidRDefault="008046DE" w:rsidP="008046DE">
      <w:r w:rsidRPr="00585D4B">
        <w:t xml:space="preserve">Charakteristické zatížení od sněhu: </w:t>
      </w:r>
    </w:p>
    <w:p w:rsidR="008046DE" w:rsidRDefault="008046DE" w:rsidP="008046DE">
      <w:pPr>
        <w:ind w:firstLine="708"/>
        <w:rPr>
          <w:i/>
        </w:rPr>
      </w:pPr>
      <w:r w:rsidRPr="00585D4B">
        <w:rPr>
          <w:b/>
          <w:i/>
        </w:rPr>
        <w:t>s</w:t>
      </w:r>
      <w:r w:rsidRPr="00585D4B">
        <w:rPr>
          <w:b/>
          <w:i/>
          <w:vertAlign w:val="subscript"/>
        </w:rPr>
        <w:t xml:space="preserve">k </w:t>
      </w:r>
      <w:r w:rsidRPr="00585D4B">
        <w:rPr>
          <w:b/>
          <w:i/>
        </w:rPr>
        <w:t>= s · c</w:t>
      </w:r>
      <w:r w:rsidRPr="00585D4B">
        <w:rPr>
          <w:b/>
          <w:i/>
          <w:vertAlign w:val="subscript"/>
        </w:rPr>
        <w:t xml:space="preserve">e </w:t>
      </w:r>
      <w:r w:rsidRPr="00585D4B">
        <w:rPr>
          <w:b/>
          <w:i/>
        </w:rPr>
        <w:t>·</w:t>
      </w:r>
      <w:r w:rsidRPr="00585D4B">
        <w:rPr>
          <w:rFonts w:cstheme="minorHAnsi"/>
          <w:b/>
          <w:i/>
        </w:rPr>
        <w:t xml:space="preserve"> µ</w:t>
      </w:r>
      <w:r w:rsidRPr="00585D4B">
        <w:rPr>
          <w:b/>
          <w:i/>
          <w:vertAlign w:val="subscript"/>
        </w:rPr>
        <w:t xml:space="preserve"> </w:t>
      </w:r>
      <w:r w:rsidRPr="00585D4B">
        <w:rPr>
          <w:b/>
          <w:i/>
        </w:rPr>
        <w:t>=0,8 kN/m</w:t>
      </w:r>
      <w:r w:rsidRPr="00585D4B">
        <w:rPr>
          <w:b/>
          <w:i/>
          <w:vertAlign w:val="superscript"/>
        </w:rPr>
        <w:t>2</w:t>
      </w:r>
      <w:r w:rsidRPr="00585D4B">
        <w:rPr>
          <w:i/>
        </w:rPr>
        <w:t xml:space="preserve"> </w:t>
      </w:r>
    </w:p>
    <w:p w:rsidR="000931A3" w:rsidRPr="00534E45" w:rsidRDefault="00345C25" w:rsidP="00F2537E">
      <w:pPr>
        <w:rPr>
          <w:i/>
        </w:rPr>
      </w:pPr>
      <w:r w:rsidRPr="00DD4B62">
        <w:rPr>
          <w:i/>
        </w:rPr>
        <w:t xml:space="preserve"> </w:t>
      </w:r>
      <w:r w:rsidR="00D40CF7" w:rsidRPr="00DD4B62">
        <w:t xml:space="preserve">Součinitel zatížení pro zatížení sněhem je </w:t>
      </w:r>
      <w:r w:rsidR="00D40CF7" w:rsidRPr="00DD4B62">
        <w:rPr>
          <w:rFonts w:ascii="Symbol" w:hAnsi="Symbol"/>
        </w:rPr>
        <w:t></w:t>
      </w:r>
      <w:r w:rsidR="00D40CF7" w:rsidRPr="00DD4B62">
        <w:rPr>
          <w:vertAlign w:val="subscript"/>
        </w:rPr>
        <w:t>f</w:t>
      </w:r>
      <w:r w:rsidR="00D40CF7" w:rsidRPr="00DD4B62">
        <w:t>=1,5.</w:t>
      </w:r>
    </w:p>
    <w:p w:rsidR="00D40CF7" w:rsidRPr="00DD4B62" w:rsidRDefault="00D40CF7" w:rsidP="00AC0C5F">
      <w:pPr>
        <w:pStyle w:val="Nadpis3"/>
        <w:numPr>
          <w:ilvl w:val="2"/>
          <w:numId w:val="1"/>
        </w:numPr>
      </w:pPr>
      <w:r w:rsidRPr="00DD4B62">
        <w:t>Zatížení větrem</w:t>
      </w:r>
    </w:p>
    <w:p w:rsidR="00406673" w:rsidRPr="00406673" w:rsidRDefault="00D40CF7" w:rsidP="00406673">
      <w:pPr>
        <w:rPr>
          <w:rFonts w:ascii="Times New Roman" w:hAnsi="Times New Roman" w:cs="Times New Roman"/>
        </w:rPr>
      </w:pPr>
      <w:r w:rsidRPr="00DD4B62">
        <w:t xml:space="preserve">Bude uvažováno podle ČSN 1991-1-4. Objekt se bude nacházet v </w:t>
      </w:r>
      <w:r w:rsidR="00406673" w:rsidRPr="00406673">
        <w:t xml:space="preserve">oblasti </w:t>
      </w:r>
      <w:r w:rsidR="002A0B4D">
        <w:t>s nízkou vegetací jako je tráva a s izolovanými překážkami (stromy, budovy), jejichž vzdálenost je větší než 20násobek výšky překážky.</w:t>
      </w:r>
    </w:p>
    <w:p w:rsidR="00D40CF7" w:rsidRPr="00DD4B62" w:rsidRDefault="00D40CF7" w:rsidP="00406673">
      <w:r w:rsidRPr="00DD4B62">
        <w:t xml:space="preserve">Výchozí základní rychlosti větru je pro tuto lokalitu </w:t>
      </w:r>
      <w:r w:rsidRPr="00DD4B62">
        <w:rPr>
          <w:i/>
        </w:rPr>
        <w:t>v</w:t>
      </w:r>
      <w:r w:rsidRPr="00DD4B62">
        <w:rPr>
          <w:i/>
          <w:vertAlign w:val="subscript"/>
        </w:rPr>
        <w:t>b,0</w:t>
      </w:r>
      <w:r w:rsidR="002A0B4D">
        <w:t xml:space="preserve"> = 27,5</w:t>
      </w:r>
      <w:r w:rsidRPr="00DD4B62">
        <w:t xml:space="preserve"> m/s. Maximální dynamický tlak větru pro danou oblast a objekt bude:</w:t>
      </w:r>
    </w:p>
    <w:p w:rsidR="00D23384" w:rsidRPr="00DD4B62" w:rsidRDefault="00D40CF7" w:rsidP="00F7210D">
      <w:pPr>
        <w:ind w:firstLine="708"/>
      </w:pPr>
      <w:r w:rsidRPr="00DD4B62">
        <w:rPr>
          <w:i/>
        </w:rPr>
        <w:t>q</w:t>
      </w:r>
      <w:r w:rsidRPr="00DD4B62">
        <w:rPr>
          <w:i/>
          <w:vertAlign w:val="subscript"/>
        </w:rPr>
        <w:t>p</w:t>
      </w:r>
      <w:r w:rsidR="00534E45">
        <w:rPr>
          <w:i/>
        </w:rPr>
        <w:t>(z) = 0,906</w:t>
      </w:r>
      <w:r w:rsidRPr="00DD4B62">
        <w:rPr>
          <w:i/>
        </w:rPr>
        <w:t xml:space="preserve"> kN/m</w:t>
      </w:r>
      <w:r w:rsidRPr="00DD4B62">
        <w:rPr>
          <w:i/>
          <w:vertAlign w:val="superscript"/>
        </w:rPr>
        <w:t>2</w:t>
      </w:r>
      <w:r w:rsidRPr="00DD4B62">
        <w:t>.</w:t>
      </w:r>
    </w:p>
    <w:p w:rsidR="00720007" w:rsidRPr="001B2D0D" w:rsidRDefault="00FD3993" w:rsidP="00720007">
      <w:pPr>
        <w:pStyle w:val="Nadpis3"/>
        <w:numPr>
          <w:ilvl w:val="2"/>
          <w:numId w:val="1"/>
        </w:numPr>
        <w:spacing w:after="60"/>
      </w:pPr>
      <w:r>
        <w:t>Zatížení příčkami</w:t>
      </w:r>
    </w:p>
    <w:p w:rsidR="00720007" w:rsidRDefault="00720007" w:rsidP="00720007">
      <w:r w:rsidRPr="001B2D0D">
        <w:t xml:space="preserve">V objektu bude umístěno několik </w:t>
      </w:r>
      <w:r w:rsidR="00534E45">
        <w:t>tenkých zděných</w:t>
      </w:r>
      <w:r>
        <w:t xml:space="preserve"> </w:t>
      </w:r>
      <w:r w:rsidRPr="001B2D0D">
        <w:t xml:space="preserve">příček. </w:t>
      </w:r>
      <w:r w:rsidR="00534E45" w:rsidRPr="001B2D0D">
        <w:t>Zatížení od příček uložených na podlaze j</w:t>
      </w:r>
      <w:r w:rsidR="00534E45">
        <w:t>e uvažováno plošně hodnotou zatížení</w:t>
      </w:r>
      <w:r w:rsidR="00534E45" w:rsidRPr="001B2D0D">
        <w:t xml:space="preserve"> </w:t>
      </w:r>
      <w:r w:rsidRPr="001B2D0D">
        <w:t xml:space="preserve">a to velikostí </w:t>
      </w:r>
      <w:r w:rsidR="00534E45">
        <w:t>2,5</w:t>
      </w:r>
      <w:r w:rsidRPr="001B2D0D">
        <w:t xml:space="preserve"> kN/m</w:t>
      </w:r>
      <w:r w:rsidRPr="001B2D0D">
        <w:rPr>
          <w:vertAlign w:val="superscript"/>
        </w:rPr>
        <w:t>2</w:t>
      </w:r>
      <w:r w:rsidRPr="001B2D0D">
        <w:t>.</w:t>
      </w:r>
      <w:r w:rsidR="00534E45">
        <w:t xml:space="preserve"> Zatížení od ztužujících stěn tl. 175 mm je uvažováno liniově.</w:t>
      </w:r>
    </w:p>
    <w:p w:rsidR="00D40CF7" w:rsidRPr="00DD4B62" w:rsidRDefault="00D40CF7" w:rsidP="00AC0C5F">
      <w:pPr>
        <w:pStyle w:val="Nadpis2"/>
        <w:numPr>
          <w:ilvl w:val="1"/>
          <w:numId w:val="1"/>
        </w:numPr>
        <w:ind w:left="578" w:hanging="578"/>
      </w:pPr>
      <w:bookmarkStart w:id="13" w:name="_Toc147739199"/>
      <w:r w:rsidRPr="00DD4B62">
        <w:t>Speciální a dynamické zatížení</w:t>
      </w:r>
      <w:bookmarkEnd w:id="13"/>
    </w:p>
    <w:p w:rsidR="00720007" w:rsidRPr="001B2D0D" w:rsidRDefault="00720007" w:rsidP="00720007">
      <w:bookmarkStart w:id="14" w:name="_Toc326762180"/>
      <w:r w:rsidRPr="001B2D0D">
        <w:t>V objektu nebude instalováno žádné nestandardní technologické zatížení, které by vyvozovalo dynamické účinky na nosné konstrukce.</w:t>
      </w:r>
    </w:p>
    <w:p w:rsidR="00331E15" w:rsidRPr="00DD4B62" w:rsidRDefault="00D40CF7" w:rsidP="00AC0C5F">
      <w:pPr>
        <w:pStyle w:val="Nadpis2"/>
        <w:numPr>
          <w:ilvl w:val="1"/>
          <w:numId w:val="1"/>
        </w:numPr>
      </w:pPr>
      <w:bookmarkStart w:id="15" w:name="_Toc147739200"/>
      <w:r w:rsidRPr="00DD4B62">
        <w:lastRenderedPageBreak/>
        <w:t>Deformace</w:t>
      </w:r>
      <w:bookmarkEnd w:id="14"/>
      <w:bookmarkEnd w:id="15"/>
    </w:p>
    <w:p w:rsidR="00E8601B" w:rsidRPr="00F37180" w:rsidRDefault="00E8601B" w:rsidP="00BF4245">
      <w:pPr>
        <w:pStyle w:val="Odstavecseseznamem"/>
        <w:numPr>
          <w:ilvl w:val="0"/>
          <w:numId w:val="9"/>
        </w:numPr>
        <w:spacing w:after="0" w:line="320" w:lineRule="exact"/>
        <w:ind w:left="709" w:hanging="283"/>
      </w:pPr>
      <w:r w:rsidRPr="00BF4245">
        <w:rPr>
          <w:b/>
          <w:u w:val="single"/>
        </w:rPr>
        <w:t>Dřevěné konstrukce</w:t>
      </w:r>
    </w:p>
    <w:p w:rsidR="00E8601B" w:rsidRDefault="00E8601B" w:rsidP="00AC0C5F">
      <w:pPr>
        <w:pStyle w:val="Odstavecseseznamem"/>
        <w:numPr>
          <w:ilvl w:val="0"/>
          <w:numId w:val="14"/>
        </w:numPr>
        <w:spacing w:after="0" w:line="320" w:lineRule="exact"/>
      </w:pPr>
      <w:r w:rsidRPr="00063827">
        <w:rPr>
          <w:i/>
          <w:iCs/>
        </w:rPr>
        <w:t>u</w:t>
      </w:r>
      <w:r w:rsidRPr="00063827">
        <w:rPr>
          <w:i/>
          <w:iCs/>
          <w:vertAlign w:val="subscript"/>
        </w:rPr>
        <w:t>max</w:t>
      </w:r>
      <w:r w:rsidRPr="00063827">
        <w:t xml:space="preserve"> ≤ 1/250 rozponu (průhyb včetně dotvarování dřeva), </w:t>
      </w:r>
    </w:p>
    <w:p w:rsidR="00E8601B" w:rsidRDefault="00E8601B" w:rsidP="00AC0C5F">
      <w:pPr>
        <w:pStyle w:val="Odstavecseseznamem"/>
        <w:numPr>
          <w:ilvl w:val="0"/>
          <w:numId w:val="14"/>
        </w:numPr>
        <w:spacing w:after="0" w:line="320" w:lineRule="exact"/>
      </w:pPr>
      <w:r w:rsidRPr="00063827">
        <w:rPr>
          <w:i/>
          <w:iCs/>
        </w:rPr>
        <w:t>u</w:t>
      </w:r>
      <w:r w:rsidRPr="00063827">
        <w:rPr>
          <w:i/>
          <w:iCs/>
          <w:vertAlign w:val="subscript"/>
        </w:rPr>
        <w:t>2</w:t>
      </w:r>
      <w:r w:rsidRPr="00063827">
        <w:t xml:space="preserve"> ≤ 1/350 rozponu (okamžitý průhyb)</w:t>
      </w:r>
    </w:p>
    <w:p w:rsidR="00BF4245" w:rsidRPr="000008FB" w:rsidRDefault="00BF4245" w:rsidP="00BF4245">
      <w:pPr>
        <w:pStyle w:val="Nadpis5"/>
        <w:numPr>
          <w:ilvl w:val="0"/>
          <w:numId w:val="9"/>
        </w:numPr>
        <w:ind w:left="709" w:hanging="283"/>
        <w:rPr>
          <w:rFonts w:asciiTheme="minorHAnsi" w:hAnsiTheme="minorHAnsi" w:cstheme="minorHAnsi"/>
          <w:b/>
          <w:color w:val="auto"/>
          <w:sz w:val="24"/>
          <w:u w:val="single"/>
        </w:rPr>
      </w:pPr>
      <w:r w:rsidRPr="000008FB">
        <w:rPr>
          <w:rFonts w:asciiTheme="minorHAnsi" w:hAnsiTheme="minorHAnsi" w:cstheme="minorHAnsi"/>
          <w:b/>
          <w:color w:val="auto"/>
          <w:u w:val="single"/>
        </w:rPr>
        <w:t>Betonové konstrukce</w:t>
      </w:r>
    </w:p>
    <w:p w:rsidR="00BF4245" w:rsidRDefault="00BF4245" w:rsidP="00BF4245">
      <w:pPr>
        <w:numPr>
          <w:ilvl w:val="1"/>
          <w:numId w:val="26"/>
        </w:numPr>
        <w:spacing w:after="0"/>
      </w:pPr>
      <w:r w:rsidRPr="000008FB">
        <w:rPr>
          <w:u w:val="single"/>
        </w:rPr>
        <w:t>Běžné stropní desky</w:t>
      </w:r>
      <w:r>
        <w:rPr>
          <w:b/>
          <w:u w:val="single"/>
        </w:rPr>
        <w:t xml:space="preserve"> </w:t>
      </w:r>
      <w:r>
        <w:t xml:space="preserve">(čl. 7.4.1(4) v ČSN EN 1992-1-1) – </w:t>
      </w:r>
      <w:r>
        <w:rPr>
          <w:i/>
          <w:iCs/>
        </w:rPr>
        <w:t>u</w:t>
      </w:r>
      <w:r>
        <w:rPr>
          <w:i/>
          <w:iCs/>
          <w:vertAlign w:val="subscript"/>
        </w:rPr>
        <w:t>max</w:t>
      </w:r>
      <w:r>
        <w:t xml:space="preserve"> ≤ 1/250 rozponu (průhyb včetně dotvarování – kvazistálá kombinace zatížení)</w:t>
      </w:r>
    </w:p>
    <w:p w:rsidR="00BF4245" w:rsidRDefault="00BF4245" w:rsidP="00BF4245">
      <w:pPr>
        <w:numPr>
          <w:ilvl w:val="1"/>
          <w:numId w:val="26"/>
        </w:numPr>
        <w:spacing w:after="0"/>
      </w:pPr>
      <w:r w:rsidRPr="000008FB">
        <w:rPr>
          <w:u w:val="single"/>
        </w:rPr>
        <w:t>Stropní desky tvořící podlahu, kde jsou příčky</w:t>
      </w:r>
      <w:r>
        <w:t xml:space="preserve"> -  </w:t>
      </w:r>
      <w:r>
        <w:rPr>
          <w:i/>
          <w:iCs/>
        </w:rPr>
        <w:t>u</w:t>
      </w:r>
      <w:r>
        <w:rPr>
          <w:i/>
          <w:iCs/>
          <w:vertAlign w:val="subscript"/>
        </w:rPr>
        <w:t>2</w:t>
      </w:r>
      <w:r>
        <w:t xml:space="preserve"> ≤ 1/500 rozponu (dle čl. 7.4.1(5) v ČSN EN 1992-1-1 průhyb od zatížení po zabudování prvku do konstrukce – kvazistálá kombinace zatížení), nebo 1/600 rozponu nebo 15 mm a natočení kolmé k patě příčky 2 mrad od okamžiku vyzdění příčky (dle Tab. 7.1 v ČSN 73 1201/2010) </w:t>
      </w:r>
    </w:p>
    <w:p w:rsidR="00BF4245" w:rsidRDefault="00BF4245" w:rsidP="00BF4245">
      <w:pPr>
        <w:ind w:left="708"/>
      </w:pPr>
      <w:r>
        <w:t>Pozn.) Vždy se jedná o průhyb s dotvarováním a v místě vzniku trhlin s redukovanou ohybovou tuhostí (nelineární deformace)</w:t>
      </w:r>
    </w:p>
    <w:p w:rsidR="00167255" w:rsidRPr="00DD4B62" w:rsidRDefault="00167255" w:rsidP="00182C03">
      <w:pPr>
        <w:pStyle w:val="Nadpis1"/>
      </w:pPr>
      <w:bookmarkStart w:id="16" w:name="_Toc147739201"/>
      <w:r w:rsidRPr="00DD4B62">
        <w:t>speciální konstrukce, detaily a postupy</w:t>
      </w:r>
      <w:bookmarkEnd w:id="16"/>
    </w:p>
    <w:p w:rsidR="00B14A3D" w:rsidRDefault="00167255" w:rsidP="00167255">
      <w:r w:rsidRPr="00DD4B62">
        <w:t>V nosné konstrukci se vyskytují běžné konstrukční prvky a detaily, provádění si nevyžádá žádné neobvyklé technologické postupy.</w:t>
      </w:r>
      <w:r w:rsidR="00211FE7" w:rsidRPr="00DD4B62">
        <w:t xml:space="preserve"> </w:t>
      </w:r>
    </w:p>
    <w:p w:rsidR="006816FA" w:rsidRPr="00182C03" w:rsidRDefault="006816FA" w:rsidP="006816FA">
      <w:pPr>
        <w:pStyle w:val="Nadpis1"/>
      </w:pPr>
      <w:bookmarkStart w:id="17" w:name="_Toc147739202"/>
      <w:r w:rsidRPr="00182C03">
        <w:t>technologické podmínky</w:t>
      </w:r>
      <w:bookmarkEnd w:id="17"/>
    </w:p>
    <w:p w:rsidR="006816FA" w:rsidRDefault="006816FA" w:rsidP="006816FA">
      <w:r>
        <w:t>Při provádění konstrukcí budou dodržovány technologické podmínky dodavatelů materiálů a následující podmínky:</w:t>
      </w:r>
    </w:p>
    <w:p w:rsidR="006816FA" w:rsidRPr="00182C03" w:rsidRDefault="006816FA" w:rsidP="006816FA">
      <w:pPr>
        <w:pStyle w:val="Nadpis2"/>
      </w:pPr>
      <w:bookmarkStart w:id="18" w:name="_Ref55149386"/>
      <w:bookmarkStart w:id="19" w:name="_Toc147739203"/>
      <w:r w:rsidRPr="00182C03">
        <w:t>Provádění zděných konstrukcí</w:t>
      </w:r>
      <w:bookmarkEnd w:id="18"/>
      <w:bookmarkEnd w:id="19"/>
    </w:p>
    <w:p w:rsidR="006816FA" w:rsidRPr="006B2CC7" w:rsidRDefault="006816FA" w:rsidP="006816FA">
      <w:r w:rsidRPr="006B2CC7">
        <w:t xml:space="preserve">Při dopravě a skladování zdících materiálů je nutno postupovat tak, aby nedošlo k jejich poškození. Je-li nebezpečí, že by zdící prvky nadměrně odebíraly vodu z malty, je nutno zdivo vlhčit. Vlhčení ložných spár před zděním je nutno provést vždy, když bude zdění prováděno po delší přestávce, nebo za suchého a horkého počasí Za suchého a horkého počasí je nutno zdivo zakrýt a vlhčit aby se předešlo jeho rychlému vysušování. Zdící prvky se mohou, řezat (popř. přisékávat) při dodržení pokynů jejich výrobce. </w:t>
      </w:r>
    </w:p>
    <w:p w:rsidR="006816FA" w:rsidRPr="006B2CC7" w:rsidRDefault="006816FA" w:rsidP="006816FA">
      <w:r w:rsidRPr="006B2CC7">
        <w:t>Při zdění za nízkých teplot (tj.</w:t>
      </w:r>
      <w:r>
        <w:t xml:space="preserve"> </w:t>
      </w:r>
      <w:r w:rsidRPr="006B2CC7">
        <w:t>průměrná teplota prostředí klesne pod +</w:t>
      </w:r>
      <w:smartTag w:uri="urn:schemas-microsoft-com:office:smarttags" w:element="metricconverter">
        <w:smartTagPr>
          <w:attr w:name="ProductID" w:val="5ﾰC"/>
        </w:smartTagPr>
        <w:r w:rsidRPr="006B2CC7">
          <w:t>5°C</w:t>
        </w:r>
      </w:smartTag>
      <w:r w:rsidRPr="006B2CC7">
        <w:t xml:space="preserve">, nebo okamžitá teplota pod </w:t>
      </w:r>
      <w:smartTag w:uri="urn:schemas-microsoft-com:office:smarttags" w:element="metricconverter">
        <w:smartTagPr>
          <w:attr w:name="ProductID" w:val="0ﾰC"/>
        </w:smartTagPr>
        <w:r w:rsidRPr="006B2CC7">
          <w:t>0°C</w:t>
        </w:r>
      </w:smartTag>
      <w:r w:rsidRPr="006B2CC7">
        <w:t>) je nutno dodržet tyto zásady:</w:t>
      </w:r>
    </w:p>
    <w:p w:rsidR="006816FA" w:rsidRPr="006B2CC7" w:rsidRDefault="006816FA" w:rsidP="00AC0C5F">
      <w:pPr>
        <w:numPr>
          <w:ilvl w:val="0"/>
          <w:numId w:val="6"/>
        </w:numPr>
        <w:spacing w:after="0"/>
        <w:jc w:val="left"/>
      </w:pPr>
      <w:r w:rsidRPr="006B2CC7">
        <w:t>Ohřívat záměsovou vodu, při teplotě pod –5°C nutno ohřívat i kamenivo a prodloužit dobu mísení na dvojnásobek doby při normální teplotě. Teplota malty před použitím na zdění nesmí klesnout pod +</w:t>
      </w:r>
      <w:smartTag w:uri="urn:schemas-microsoft-com:office:smarttags" w:element="metricconverter">
        <w:smartTagPr>
          <w:attr w:name="ProductID" w:val="15ﾰC"/>
        </w:smartTagPr>
        <w:r w:rsidRPr="006B2CC7">
          <w:t>15°C</w:t>
        </w:r>
      </w:smartTag>
      <w:r w:rsidRPr="006B2CC7">
        <w:t>.</w:t>
      </w:r>
    </w:p>
    <w:p w:rsidR="006816FA" w:rsidRPr="006B2CC7" w:rsidRDefault="006816FA" w:rsidP="00AC0C5F">
      <w:pPr>
        <w:numPr>
          <w:ilvl w:val="0"/>
          <w:numId w:val="6"/>
        </w:numPr>
        <w:spacing w:after="0"/>
        <w:jc w:val="left"/>
      </w:pPr>
      <w:r w:rsidRPr="006B2CC7">
        <w:t xml:space="preserve">Při teplotě trvale pod </w:t>
      </w:r>
      <w:smartTag w:uri="urn:schemas-microsoft-com:office:smarttags" w:element="metricconverter">
        <w:smartTagPr>
          <w:attr w:name="ProductID" w:val="0ﾰC"/>
        </w:smartTagPr>
        <w:r w:rsidRPr="006B2CC7">
          <w:t>0°C</w:t>
        </w:r>
      </w:smartTag>
      <w:r w:rsidRPr="006B2CC7">
        <w:t xml:space="preserve"> nutno používat malty o jeden stupeň vyšší, než je předepsáno projektem, nebo je možné použít příslušné přísady s ověřenými vlastnostmi.</w:t>
      </w:r>
    </w:p>
    <w:p w:rsidR="006816FA" w:rsidRPr="006B2CC7" w:rsidRDefault="006816FA" w:rsidP="00AC0C5F">
      <w:pPr>
        <w:numPr>
          <w:ilvl w:val="0"/>
          <w:numId w:val="6"/>
        </w:numPr>
        <w:spacing w:after="0"/>
        <w:jc w:val="left"/>
      </w:pPr>
      <w:r w:rsidRPr="006B2CC7">
        <w:t>Pro výrobu malty se nesmí použít zmrzlého kameniva.</w:t>
      </w:r>
    </w:p>
    <w:p w:rsidR="006816FA" w:rsidRPr="006B2CC7" w:rsidRDefault="006816FA" w:rsidP="00AC0C5F">
      <w:pPr>
        <w:numPr>
          <w:ilvl w:val="0"/>
          <w:numId w:val="6"/>
        </w:numPr>
        <w:spacing w:after="0"/>
        <w:jc w:val="left"/>
      </w:pPr>
      <w:r w:rsidRPr="006B2CC7">
        <w:t>Nesmí se použít zmrzlých, nebo přechlazených zdících prvků.</w:t>
      </w:r>
    </w:p>
    <w:p w:rsidR="006816FA" w:rsidRPr="006B2CC7" w:rsidRDefault="006816FA" w:rsidP="00AC0C5F">
      <w:pPr>
        <w:numPr>
          <w:ilvl w:val="0"/>
          <w:numId w:val="6"/>
        </w:numPr>
        <w:spacing w:after="0"/>
        <w:jc w:val="left"/>
      </w:pPr>
      <w:r w:rsidRPr="006B2CC7">
        <w:t>Povrch podkladu, na který se zdí, musí mít teplotu min.+</w:t>
      </w:r>
      <w:smartTag w:uri="urn:schemas-microsoft-com:office:smarttags" w:element="metricconverter">
        <w:smartTagPr>
          <w:attr w:name="ProductID" w:val="10ﾰC"/>
        </w:smartTagPr>
        <w:r w:rsidRPr="006B2CC7">
          <w:t>10°C</w:t>
        </w:r>
      </w:smartTag>
      <w:r w:rsidRPr="006B2CC7">
        <w:t>.</w:t>
      </w:r>
    </w:p>
    <w:p w:rsidR="006816FA" w:rsidRPr="006B2CC7" w:rsidRDefault="006816FA" w:rsidP="00AC0C5F">
      <w:pPr>
        <w:numPr>
          <w:ilvl w:val="0"/>
          <w:numId w:val="6"/>
        </w:numPr>
        <w:spacing w:after="0"/>
        <w:jc w:val="left"/>
      </w:pPr>
      <w:r w:rsidRPr="006B2CC7">
        <w:t>Zdít bez přerušení, maltu prostírat v malých záběrech, zdící prvky ukládat bez předběžného vlhčení.</w:t>
      </w:r>
    </w:p>
    <w:p w:rsidR="006816FA" w:rsidRPr="006B2CC7" w:rsidRDefault="006816FA" w:rsidP="00AC0C5F">
      <w:pPr>
        <w:numPr>
          <w:ilvl w:val="0"/>
          <w:numId w:val="6"/>
        </w:numPr>
        <w:spacing w:after="0"/>
        <w:jc w:val="left"/>
      </w:pPr>
      <w:r w:rsidRPr="006B2CC7">
        <w:t>Při přerušení a ukončení zdění musí být zdivo chráněno proti mrazu. Zdivo nesmí být vystaveno mrazu, pokud krychelná pevnost malty nedosáhla alespoň 50% krychelné pevnosti dané třídy malty.</w:t>
      </w:r>
    </w:p>
    <w:p w:rsidR="006816FA" w:rsidRDefault="006816FA" w:rsidP="006816FA"/>
    <w:p w:rsidR="0073702F" w:rsidRDefault="006816FA" w:rsidP="00406673">
      <w:r w:rsidRPr="006B2CC7">
        <w:t>Při porušení zejména posledního bodu lze ve zdění pokračovat až po odstranění nedostatečně ošetřeného zdiva!</w:t>
      </w:r>
    </w:p>
    <w:p w:rsidR="006816FA" w:rsidRDefault="006816FA" w:rsidP="006816FA">
      <w:r>
        <w:t>Drážky a výklenky nesmí snižovat stabilitu stěny a nemají procházet překlady nebo jinými částmi konstrukce zabudovanými do stěny. Rozměry svislých drážek a výklenků ve zdivu, které jsou přípustné bez posouzení statickým výpočtem, jsou uvedeny v následující tabulce:</w:t>
      </w:r>
    </w:p>
    <w:p w:rsidR="006816FA" w:rsidRDefault="006816FA" w:rsidP="006816FA"/>
    <w:tbl>
      <w:tblPr>
        <w:tblStyle w:val="Mkatabulky"/>
        <w:tblW w:w="0" w:type="auto"/>
        <w:jc w:val="center"/>
        <w:tblLook w:val="04A0"/>
      </w:tblPr>
      <w:tblGrid>
        <w:gridCol w:w="1555"/>
        <w:gridCol w:w="1701"/>
        <w:gridCol w:w="1701"/>
        <w:gridCol w:w="1701"/>
        <w:gridCol w:w="1701"/>
      </w:tblGrid>
      <w:tr w:rsidR="006816FA" w:rsidTr="00BA72F9">
        <w:trPr>
          <w:jc w:val="center"/>
        </w:trPr>
        <w:tc>
          <w:tcPr>
            <w:tcW w:w="1555" w:type="dxa"/>
            <w:vMerge w:val="restart"/>
            <w:tcBorders>
              <w:right w:val="double" w:sz="4" w:space="0" w:color="auto"/>
            </w:tcBorders>
          </w:tcPr>
          <w:p w:rsidR="006816FA" w:rsidRPr="00AC2BDB" w:rsidRDefault="006816FA" w:rsidP="00BA72F9">
            <w:pPr>
              <w:jc w:val="center"/>
              <w:rPr>
                <w:sz w:val="20"/>
                <w:szCs w:val="20"/>
              </w:rPr>
            </w:pPr>
            <w:r w:rsidRPr="00AC2BDB">
              <w:rPr>
                <w:sz w:val="20"/>
                <w:szCs w:val="20"/>
              </w:rPr>
              <w:t>Tloušťka stěny</w:t>
            </w:r>
          </w:p>
          <w:p w:rsidR="006816FA" w:rsidRPr="00AC2BDB" w:rsidRDefault="006816FA" w:rsidP="00BA72F9">
            <w:pPr>
              <w:jc w:val="center"/>
              <w:rPr>
                <w:sz w:val="20"/>
                <w:szCs w:val="20"/>
              </w:rPr>
            </w:pPr>
            <w:r w:rsidRPr="00AC2BDB">
              <w:rPr>
                <w:sz w:val="20"/>
                <w:szCs w:val="20"/>
                <w:lang w:val="en-US"/>
              </w:rPr>
              <w:t>[mm]</w:t>
            </w:r>
          </w:p>
        </w:tc>
        <w:tc>
          <w:tcPr>
            <w:tcW w:w="1701" w:type="dxa"/>
            <w:gridSpan w:val="2"/>
            <w:tcBorders>
              <w:left w:val="double" w:sz="4" w:space="0" w:color="auto"/>
              <w:right w:val="single" w:sz="4" w:space="0" w:color="auto"/>
            </w:tcBorders>
          </w:tcPr>
          <w:p w:rsidR="006816FA" w:rsidRPr="00AC2BDB" w:rsidRDefault="006816FA" w:rsidP="00BA72F9">
            <w:pPr>
              <w:jc w:val="center"/>
              <w:rPr>
                <w:sz w:val="20"/>
                <w:szCs w:val="20"/>
              </w:rPr>
            </w:pPr>
            <w:r w:rsidRPr="00AC2BDB">
              <w:rPr>
                <w:sz w:val="20"/>
                <w:szCs w:val="20"/>
              </w:rPr>
              <w:t>Dodatečně prováděné drážky a výklenky</w:t>
            </w:r>
          </w:p>
        </w:tc>
        <w:tc>
          <w:tcPr>
            <w:tcW w:w="1701" w:type="dxa"/>
            <w:gridSpan w:val="2"/>
            <w:tcBorders>
              <w:left w:val="single" w:sz="4" w:space="0" w:color="auto"/>
            </w:tcBorders>
          </w:tcPr>
          <w:p w:rsidR="006816FA" w:rsidRPr="00AC2BDB" w:rsidRDefault="006816FA" w:rsidP="00BA72F9">
            <w:pPr>
              <w:jc w:val="center"/>
              <w:rPr>
                <w:sz w:val="20"/>
                <w:szCs w:val="20"/>
              </w:rPr>
            </w:pPr>
            <w:r w:rsidRPr="00AC2BDB">
              <w:rPr>
                <w:sz w:val="20"/>
                <w:szCs w:val="20"/>
              </w:rPr>
              <w:t>Vyzdívané drážky a výklenky</w:t>
            </w:r>
          </w:p>
        </w:tc>
      </w:tr>
      <w:tr w:rsidR="006816FA" w:rsidTr="00BA72F9">
        <w:trPr>
          <w:jc w:val="center"/>
        </w:trPr>
        <w:tc>
          <w:tcPr>
            <w:tcW w:w="1555" w:type="dxa"/>
            <w:vMerge/>
            <w:tcBorders>
              <w:bottom w:val="double" w:sz="4" w:space="0" w:color="auto"/>
              <w:right w:val="double" w:sz="4" w:space="0" w:color="auto"/>
            </w:tcBorders>
          </w:tcPr>
          <w:p w:rsidR="006816FA" w:rsidRPr="00AC2BDB" w:rsidRDefault="006816FA" w:rsidP="00BA72F9">
            <w:pPr>
              <w:jc w:val="center"/>
              <w:rPr>
                <w:sz w:val="20"/>
                <w:szCs w:val="20"/>
              </w:rPr>
            </w:pPr>
          </w:p>
        </w:tc>
        <w:tc>
          <w:tcPr>
            <w:tcW w:w="1701" w:type="dxa"/>
            <w:tcBorders>
              <w:left w:val="double" w:sz="4" w:space="0" w:color="auto"/>
              <w:bottom w:val="double" w:sz="4" w:space="0" w:color="auto"/>
              <w:right w:val="single" w:sz="4" w:space="0" w:color="auto"/>
            </w:tcBorders>
          </w:tcPr>
          <w:p w:rsidR="006816FA" w:rsidRDefault="006816FA" w:rsidP="00BA72F9">
            <w:pPr>
              <w:jc w:val="center"/>
              <w:rPr>
                <w:sz w:val="20"/>
                <w:szCs w:val="20"/>
              </w:rPr>
            </w:pPr>
            <w:r w:rsidRPr="00AC2BDB">
              <w:rPr>
                <w:sz w:val="20"/>
                <w:szCs w:val="20"/>
              </w:rPr>
              <w:t>Největší hloubka</w:t>
            </w:r>
          </w:p>
          <w:p w:rsidR="006816FA" w:rsidRPr="00AC2BDB" w:rsidRDefault="006816FA" w:rsidP="00BA72F9">
            <w:pPr>
              <w:jc w:val="center"/>
              <w:rPr>
                <w:sz w:val="20"/>
                <w:szCs w:val="20"/>
              </w:rPr>
            </w:pPr>
            <w:r>
              <w:rPr>
                <w:sz w:val="20"/>
                <w:szCs w:val="20"/>
                <w:lang w:val="en-US"/>
              </w:rPr>
              <w:t>[mm]</w:t>
            </w:r>
          </w:p>
        </w:tc>
        <w:tc>
          <w:tcPr>
            <w:tcW w:w="1701" w:type="dxa"/>
            <w:tcBorders>
              <w:left w:val="single" w:sz="4" w:space="0" w:color="auto"/>
              <w:bottom w:val="double" w:sz="4" w:space="0" w:color="auto"/>
            </w:tcBorders>
          </w:tcPr>
          <w:p w:rsidR="006816FA" w:rsidRDefault="006816FA" w:rsidP="00BA72F9">
            <w:pPr>
              <w:jc w:val="center"/>
              <w:rPr>
                <w:sz w:val="20"/>
                <w:szCs w:val="20"/>
              </w:rPr>
            </w:pPr>
            <w:r>
              <w:rPr>
                <w:sz w:val="20"/>
                <w:szCs w:val="20"/>
              </w:rPr>
              <w:t>Největší šířka</w:t>
            </w:r>
          </w:p>
          <w:p w:rsidR="006816FA" w:rsidRPr="00AC2BDB" w:rsidRDefault="006816FA" w:rsidP="00BA72F9">
            <w:pPr>
              <w:jc w:val="center"/>
              <w:rPr>
                <w:sz w:val="20"/>
                <w:szCs w:val="20"/>
              </w:rPr>
            </w:pPr>
            <w:r>
              <w:rPr>
                <w:sz w:val="20"/>
                <w:szCs w:val="20"/>
                <w:lang w:val="en-US"/>
              </w:rPr>
              <w:t>[mm]</w:t>
            </w:r>
          </w:p>
        </w:tc>
        <w:tc>
          <w:tcPr>
            <w:tcW w:w="1701" w:type="dxa"/>
            <w:tcBorders>
              <w:bottom w:val="double" w:sz="4" w:space="0" w:color="auto"/>
            </w:tcBorders>
          </w:tcPr>
          <w:p w:rsidR="006816FA" w:rsidRDefault="006816FA" w:rsidP="00BA72F9">
            <w:pPr>
              <w:jc w:val="center"/>
              <w:rPr>
                <w:sz w:val="20"/>
                <w:szCs w:val="20"/>
              </w:rPr>
            </w:pPr>
            <w:r>
              <w:rPr>
                <w:sz w:val="20"/>
                <w:szCs w:val="20"/>
              </w:rPr>
              <w:t>Největší šířka</w:t>
            </w:r>
          </w:p>
          <w:p w:rsidR="006816FA" w:rsidRPr="00AC2BDB" w:rsidRDefault="006816FA" w:rsidP="00BA72F9">
            <w:pPr>
              <w:jc w:val="center"/>
              <w:rPr>
                <w:sz w:val="20"/>
                <w:szCs w:val="20"/>
              </w:rPr>
            </w:pPr>
            <w:r>
              <w:rPr>
                <w:sz w:val="20"/>
                <w:szCs w:val="20"/>
                <w:lang w:val="en-US"/>
              </w:rPr>
              <w:t>[mm]</w:t>
            </w:r>
          </w:p>
        </w:tc>
        <w:tc>
          <w:tcPr>
            <w:tcW w:w="1701" w:type="dxa"/>
            <w:tcBorders>
              <w:bottom w:val="double" w:sz="4" w:space="0" w:color="auto"/>
            </w:tcBorders>
          </w:tcPr>
          <w:p w:rsidR="006816FA" w:rsidRDefault="006816FA" w:rsidP="00BA72F9">
            <w:pPr>
              <w:jc w:val="center"/>
              <w:rPr>
                <w:sz w:val="20"/>
                <w:szCs w:val="20"/>
              </w:rPr>
            </w:pPr>
            <w:r>
              <w:rPr>
                <w:sz w:val="20"/>
                <w:szCs w:val="20"/>
              </w:rPr>
              <w:t>Min. zbytková tloušťka stěny</w:t>
            </w:r>
          </w:p>
          <w:p w:rsidR="006816FA" w:rsidRPr="00AC2BDB" w:rsidRDefault="006816FA" w:rsidP="00BA72F9">
            <w:pPr>
              <w:jc w:val="center"/>
              <w:rPr>
                <w:sz w:val="20"/>
                <w:szCs w:val="20"/>
              </w:rPr>
            </w:pPr>
            <w:r>
              <w:rPr>
                <w:sz w:val="20"/>
                <w:szCs w:val="20"/>
                <w:lang w:val="en-US"/>
              </w:rPr>
              <w:t>[mm]</w:t>
            </w:r>
          </w:p>
        </w:tc>
      </w:tr>
      <w:tr w:rsidR="006816FA" w:rsidTr="00BA72F9">
        <w:trPr>
          <w:jc w:val="center"/>
        </w:trPr>
        <w:tc>
          <w:tcPr>
            <w:tcW w:w="1555" w:type="dxa"/>
            <w:tcBorders>
              <w:top w:val="double" w:sz="4" w:space="0" w:color="auto"/>
              <w:right w:val="double" w:sz="4" w:space="0" w:color="auto"/>
            </w:tcBorders>
          </w:tcPr>
          <w:p w:rsidR="006816FA" w:rsidRPr="00AC2BDB" w:rsidRDefault="006816FA" w:rsidP="00BA72F9">
            <w:pPr>
              <w:jc w:val="center"/>
              <w:rPr>
                <w:sz w:val="20"/>
                <w:szCs w:val="20"/>
              </w:rPr>
            </w:pPr>
            <w:r w:rsidRPr="00AC2BDB">
              <w:rPr>
                <w:sz w:val="20"/>
                <w:szCs w:val="20"/>
              </w:rPr>
              <w:t>85 až 115</w:t>
            </w:r>
          </w:p>
        </w:tc>
        <w:tc>
          <w:tcPr>
            <w:tcW w:w="1701" w:type="dxa"/>
            <w:tcBorders>
              <w:top w:val="double" w:sz="4" w:space="0" w:color="auto"/>
              <w:left w:val="double" w:sz="4" w:space="0" w:color="auto"/>
              <w:right w:val="single" w:sz="4" w:space="0" w:color="auto"/>
            </w:tcBorders>
          </w:tcPr>
          <w:p w:rsidR="006816FA" w:rsidRPr="00AC2BDB" w:rsidRDefault="006816FA" w:rsidP="00BA72F9">
            <w:pPr>
              <w:jc w:val="center"/>
              <w:rPr>
                <w:sz w:val="20"/>
                <w:szCs w:val="20"/>
              </w:rPr>
            </w:pPr>
            <w:r>
              <w:rPr>
                <w:sz w:val="20"/>
                <w:szCs w:val="20"/>
              </w:rPr>
              <w:t>30</w:t>
            </w:r>
          </w:p>
        </w:tc>
        <w:tc>
          <w:tcPr>
            <w:tcW w:w="1701" w:type="dxa"/>
            <w:tcBorders>
              <w:top w:val="double" w:sz="4" w:space="0" w:color="auto"/>
              <w:left w:val="single" w:sz="4" w:space="0" w:color="auto"/>
            </w:tcBorders>
          </w:tcPr>
          <w:p w:rsidR="006816FA" w:rsidRPr="00AC2BDB" w:rsidRDefault="006816FA" w:rsidP="00BA72F9">
            <w:pPr>
              <w:jc w:val="center"/>
              <w:rPr>
                <w:sz w:val="20"/>
                <w:szCs w:val="20"/>
              </w:rPr>
            </w:pPr>
            <w:r>
              <w:rPr>
                <w:sz w:val="20"/>
                <w:szCs w:val="20"/>
              </w:rPr>
              <w:t>100</w:t>
            </w:r>
          </w:p>
        </w:tc>
        <w:tc>
          <w:tcPr>
            <w:tcW w:w="1701" w:type="dxa"/>
            <w:tcBorders>
              <w:top w:val="double" w:sz="4" w:space="0" w:color="auto"/>
            </w:tcBorders>
          </w:tcPr>
          <w:p w:rsidR="006816FA" w:rsidRPr="00AC2BDB" w:rsidRDefault="006816FA" w:rsidP="00BA72F9">
            <w:pPr>
              <w:jc w:val="center"/>
              <w:rPr>
                <w:sz w:val="20"/>
                <w:szCs w:val="20"/>
              </w:rPr>
            </w:pPr>
            <w:r>
              <w:rPr>
                <w:sz w:val="20"/>
                <w:szCs w:val="20"/>
              </w:rPr>
              <w:t>300</w:t>
            </w:r>
          </w:p>
        </w:tc>
        <w:tc>
          <w:tcPr>
            <w:tcW w:w="1701" w:type="dxa"/>
            <w:tcBorders>
              <w:top w:val="double" w:sz="4" w:space="0" w:color="auto"/>
            </w:tcBorders>
          </w:tcPr>
          <w:p w:rsidR="006816FA" w:rsidRPr="00AC2BDB" w:rsidRDefault="006816FA" w:rsidP="00BA72F9">
            <w:pPr>
              <w:jc w:val="center"/>
              <w:rPr>
                <w:sz w:val="20"/>
                <w:szCs w:val="20"/>
              </w:rPr>
            </w:pPr>
            <w:r>
              <w:rPr>
                <w:sz w:val="20"/>
                <w:szCs w:val="20"/>
              </w:rPr>
              <w:t>70</w:t>
            </w:r>
          </w:p>
        </w:tc>
      </w:tr>
      <w:tr w:rsidR="006816FA" w:rsidTr="00BA72F9">
        <w:trPr>
          <w:jc w:val="center"/>
        </w:trPr>
        <w:tc>
          <w:tcPr>
            <w:tcW w:w="1555" w:type="dxa"/>
            <w:tcBorders>
              <w:right w:val="double" w:sz="4" w:space="0" w:color="auto"/>
            </w:tcBorders>
          </w:tcPr>
          <w:p w:rsidR="006816FA" w:rsidRPr="00AC2BDB" w:rsidRDefault="006816FA" w:rsidP="00BA72F9">
            <w:pPr>
              <w:jc w:val="center"/>
              <w:rPr>
                <w:sz w:val="20"/>
                <w:szCs w:val="20"/>
              </w:rPr>
            </w:pPr>
            <w:r w:rsidRPr="00AC2BDB">
              <w:rPr>
                <w:sz w:val="20"/>
                <w:szCs w:val="20"/>
              </w:rPr>
              <w:t>116 až 175</w:t>
            </w:r>
          </w:p>
        </w:tc>
        <w:tc>
          <w:tcPr>
            <w:tcW w:w="1701" w:type="dxa"/>
            <w:tcBorders>
              <w:left w:val="double" w:sz="4" w:space="0" w:color="auto"/>
              <w:right w:val="single" w:sz="4" w:space="0" w:color="auto"/>
            </w:tcBorders>
          </w:tcPr>
          <w:p w:rsidR="006816FA" w:rsidRPr="00AC2BDB" w:rsidRDefault="006816FA" w:rsidP="00BA72F9">
            <w:pPr>
              <w:jc w:val="center"/>
              <w:rPr>
                <w:sz w:val="20"/>
                <w:szCs w:val="20"/>
              </w:rPr>
            </w:pPr>
            <w:r>
              <w:rPr>
                <w:sz w:val="20"/>
                <w:szCs w:val="20"/>
              </w:rPr>
              <w:t>30</w:t>
            </w:r>
          </w:p>
        </w:tc>
        <w:tc>
          <w:tcPr>
            <w:tcW w:w="1701" w:type="dxa"/>
            <w:tcBorders>
              <w:left w:val="single" w:sz="4" w:space="0" w:color="auto"/>
            </w:tcBorders>
          </w:tcPr>
          <w:p w:rsidR="006816FA" w:rsidRPr="00AC2BDB" w:rsidRDefault="006816FA" w:rsidP="00BA72F9">
            <w:pPr>
              <w:jc w:val="center"/>
              <w:rPr>
                <w:sz w:val="20"/>
                <w:szCs w:val="20"/>
              </w:rPr>
            </w:pPr>
            <w:r>
              <w:rPr>
                <w:sz w:val="20"/>
                <w:szCs w:val="20"/>
              </w:rPr>
              <w:t>125</w:t>
            </w:r>
          </w:p>
        </w:tc>
        <w:tc>
          <w:tcPr>
            <w:tcW w:w="1701" w:type="dxa"/>
          </w:tcPr>
          <w:p w:rsidR="006816FA" w:rsidRPr="00AC2BDB" w:rsidRDefault="006816FA" w:rsidP="00BA72F9">
            <w:pPr>
              <w:jc w:val="center"/>
              <w:rPr>
                <w:sz w:val="20"/>
                <w:szCs w:val="20"/>
              </w:rPr>
            </w:pPr>
            <w:r>
              <w:rPr>
                <w:sz w:val="20"/>
                <w:szCs w:val="20"/>
              </w:rPr>
              <w:t>300</w:t>
            </w:r>
          </w:p>
        </w:tc>
        <w:tc>
          <w:tcPr>
            <w:tcW w:w="1701" w:type="dxa"/>
          </w:tcPr>
          <w:p w:rsidR="006816FA" w:rsidRPr="00AC2BDB" w:rsidRDefault="006816FA" w:rsidP="00BA72F9">
            <w:pPr>
              <w:jc w:val="center"/>
              <w:rPr>
                <w:sz w:val="20"/>
                <w:szCs w:val="20"/>
              </w:rPr>
            </w:pPr>
            <w:r>
              <w:rPr>
                <w:sz w:val="20"/>
                <w:szCs w:val="20"/>
              </w:rPr>
              <w:t>90</w:t>
            </w:r>
          </w:p>
        </w:tc>
      </w:tr>
      <w:tr w:rsidR="006816FA" w:rsidTr="00BA72F9">
        <w:trPr>
          <w:jc w:val="center"/>
        </w:trPr>
        <w:tc>
          <w:tcPr>
            <w:tcW w:w="1555" w:type="dxa"/>
            <w:tcBorders>
              <w:right w:val="double" w:sz="4" w:space="0" w:color="auto"/>
            </w:tcBorders>
          </w:tcPr>
          <w:p w:rsidR="006816FA" w:rsidRPr="00AC2BDB" w:rsidRDefault="006816FA" w:rsidP="00BA72F9">
            <w:pPr>
              <w:jc w:val="center"/>
              <w:rPr>
                <w:sz w:val="20"/>
                <w:szCs w:val="20"/>
              </w:rPr>
            </w:pPr>
            <w:r w:rsidRPr="00AC2BDB">
              <w:rPr>
                <w:sz w:val="20"/>
                <w:szCs w:val="20"/>
              </w:rPr>
              <w:t>176 až 225</w:t>
            </w:r>
          </w:p>
        </w:tc>
        <w:tc>
          <w:tcPr>
            <w:tcW w:w="1701" w:type="dxa"/>
            <w:tcBorders>
              <w:left w:val="double" w:sz="4" w:space="0" w:color="auto"/>
              <w:right w:val="single" w:sz="4" w:space="0" w:color="auto"/>
            </w:tcBorders>
          </w:tcPr>
          <w:p w:rsidR="006816FA" w:rsidRPr="00AC2BDB" w:rsidRDefault="006816FA" w:rsidP="00BA72F9">
            <w:pPr>
              <w:jc w:val="center"/>
              <w:rPr>
                <w:sz w:val="20"/>
                <w:szCs w:val="20"/>
              </w:rPr>
            </w:pPr>
            <w:r>
              <w:rPr>
                <w:sz w:val="20"/>
                <w:szCs w:val="20"/>
              </w:rPr>
              <w:t>30</w:t>
            </w:r>
          </w:p>
        </w:tc>
        <w:tc>
          <w:tcPr>
            <w:tcW w:w="1701" w:type="dxa"/>
            <w:tcBorders>
              <w:left w:val="single" w:sz="4" w:space="0" w:color="auto"/>
            </w:tcBorders>
          </w:tcPr>
          <w:p w:rsidR="006816FA" w:rsidRPr="00AC2BDB" w:rsidRDefault="006816FA" w:rsidP="00BA72F9">
            <w:pPr>
              <w:jc w:val="center"/>
              <w:rPr>
                <w:sz w:val="20"/>
                <w:szCs w:val="20"/>
              </w:rPr>
            </w:pPr>
            <w:r>
              <w:rPr>
                <w:sz w:val="20"/>
                <w:szCs w:val="20"/>
              </w:rPr>
              <w:t>150</w:t>
            </w:r>
          </w:p>
        </w:tc>
        <w:tc>
          <w:tcPr>
            <w:tcW w:w="1701" w:type="dxa"/>
          </w:tcPr>
          <w:p w:rsidR="006816FA" w:rsidRPr="00AC2BDB" w:rsidRDefault="006816FA" w:rsidP="00BA72F9">
            <w:pPr>
              <w:jc w:val="center"/>
              <w:rPr>
                <w:sz w:val="20"/>
                <w:szCs w:val="20"/>
              </w:rPr>
            </w:pPr>
            <w:r>
              <w:rPr>
                <w:sz w:val="20"/>
                <w:szCs w:val="20"/>
              </w:rPr>
              <w:t>300</w:t>
            </w:r>
          </w:p>
        </w:tc>
        <w:tc>
          <w:tcPr>
            <w:tcW w:w="1701" w:type="dxa"/>
          </w:tcPr>
          <w:p w:rsidR="006816FA" w:rsidRPr="00AC2BDB" w:rsidRDefault="006816FA" w:rsidP="00BA72F9">
            <w:pPr>
              <w:jc w:val="center"/>
              <w:rPr>
                <w:sz w:val="20"/>
                <w:szCs w:val="20"/>
              </w:rPr>
            </w:pPr>
            <w:r>
              <w:rPr>
                <w:sz w:val="20"/>
                <w:szCs w:val="20"/>
              </w:rPr>
              <w:t>140</w:t>
            </w:r>
          </w:p>
        </w:tc>
      </w:tr>
      <w:tr w:rsidR="006816FA" w:rsidTr="00BA72F9">
        <w:trPr>
          <w:jc w:val="center"/>
        </w:trPr>
        <w:tc>
          <w:tcPr>
            <w:tcW w:w="1555" w:type="dxa"/>
            <w:tcBorders>
              <w:right w:val="double" w:sz="4" w:space="0" w:color="auto"/>
            </w:tcBorders>
          </w:tcPr>
          <w:p w:rsidR="006816FA" w:rsidRPr="00AC2BDB" w:rsidRDefault="006816FA" w:rsidP="00BA72F9">
            <w:pPr>
              <w:jc w:val="center"/>
              <w:rPr>
                <w:sz w:val="20"/>
                <w:szCs w:val="20"/>
              </w:rPr>
            </w:pPr>
            <w:r w:rsidRPr="00AC2BDB">
              <w:rPr>
                <w:sz w:val="20"/>
                <w:szCs w:val="20"/>
              </w:rPr>
              <w:t>226 až 300</w:t>
            </w:r>
          </w:p>
        </w:tc>
        <w:tc>
          <w:tcPr>
            <w:tcW w:w="1701" w:type="dxa"/>
            <w:tcBorders>
              <w:left w:val="double" w:sz="4" w:space="0" w:color="auto"/>
              <w:right w:val="single" w:sz="4" w:space="0" w:color="auto"/>
            </w:tcBorders>
          </w:tcPr>
          <w:p w:rsidR="006816FA" w:rsidRPr="00AC2BDB" w:rsidRDefault="006816FA" w:rsidP="00BA72F9">
            <w:pPr>
              <w:jc w:val="center"/>
              <w:rPr>
                <w:sz w:val="20"/>
                <w:szCs w:val="20"/>
              </w:rPr>
            </w:pPr>
            <w:r>
              <w:rPr>
                <w:sz w:val="20"/>
                <w:szCs w:val="20"/>
              </w:rPr>
              <w:t>30</w:t>
            </w:r>
          </w:p>
        </w:tc>
        <w:tc>
          <w:tcPr>
            <w:tcW w:w="1701" w:type="dxa"/>
            <w:tcBorders>
              <w:left w:val="single" w:sz="4" w:space="0" w:color="auto"/>
            </w:tcBorders>
          </w:tcPr>
          <w:p w:rsidR="006816FA" w:rsidRPr="00AC2BDB" w:rsidRDefault="006816FA" w:rsidP="00BA72F9">
            <w:pPr>
              <w:jc w:val="center"/>
              <w:rPr>
                <w:sz w:val="20"/>
                <w:szCs w:val="20"/>
              </w:rPr>
            </w:pPr>
            <w:r>
              <w:rPr>
                <w:sz w:val="20"/>
                <w:szCs w:val="20"/>
              </w:rPr>
              <w:t>175</w:t>
            </w:r>
          </w:p>
        </w:tc>
        <w:tc>
          <w:tcPr>
            <w:tcW w:w="1701" w:type="dxa"/>
          </w:tcPr>
          <w:p w:rsidR="006816FA" w:rsidRPr="00AC2BDB" w:rsidRDefault="006816FA" w:rsidP="00BA72F9">
            <w:pPr>
              <w:jc w:val="center"/>
              <w:rPr>
                <w:sz w:val="20"/>
                <w:szCs w:val="20"/>
              </w:rPr>
            </w:pPr>
            <w:r>
              <w:rPr>
                <w:sz w:val="20"/>
                <w:szCs w:val="20"/>
              </w:rPr>
              <w:t>300</w:t>
            </w:r>
          </w:p>
        </w:tc>
        <w:tc>
          <w:tcPr>
            <w:tcW w:w="1701" w:type="dxa"/>
          </w:tcPr>
          <w:p w:rsidR="006816FA" w:rsidRPr="00AC2BDB" w:rsidRDefault="006816FA" w:rsidP="00BA72F9">
            <w:pPr>
              <w:jc w:val="center"/>
              <w:rPr>
                <w:sz w:val="20"/>
                <w:szCs w:val="20"/>
              </w:rPr>
            </w:pPr>
            <w:r>
              <w:rPr>
                <w:sz w:val="20"/>
                <w:szCs w:val="20"/>
              </w:rPr>
              <w:t>175</w:t>
            </w:r>
          </w:p>
        </w:tc>
      </w:tr>
      <w:tr w:rsidR="006816FA" w:rsidTr="00BA72F9">
        <w:trPr>
          <w:jc w:val="center"/>
        </w:trPr>
        <w:tc>
          <w:tcPr>
            <w:tcW w:w="1555" w:type="dxa"/>
            <w:tcBorders>
              <w:right w:val="double" w:sz="4" w:space="0" w:color="auto"/>
            </w:tcBorders>
          </w:tcPr>
          <w:p w:rsidR="006816FA" w:rsidRPr="00AC2BDB" w:rsidRDefault="006816FA" w:rsidP="00BA72F9">
            <w:pPr>
              <w:jc w:val="center"/>
              <w:rPr>
                <w:sz w:val="20"/>
                <w:szCs w:val="20"/>
              </w:rPr>
            </w:pPr>
            <w:r w:rsidRPr="00AC2BDB">
              <w:rPr>
                <w:sz w:val="20"/>
                <w:szCs w:val="20"/>
              </w:rPr>
              <w:t>Více než 300</w:t>
            </w:r>
          </w:p>
        </w:tc>
        <w:tc>
          <w:tcPr>
            <w:tcW w:w="1701" w:type="dxa"/>
            <w:tcBorders>
              <w:left w:val="double" w:sz="4" w:space="0" w:color="auto"/>
              <w:right w:val="single" w:sz="4" w:space="0" w:color="auto"/>
            </w:tcBorders>
          </w:tcPr>
          <w:p w:rsidR="006816FA" w:rsidRPr="00AC2BDB" w:rsidRDefault="006816FA" w:rsidP="00BA72F9">
            <w:pPr>
              <w:jc w:val="center"/>
              <w:rPr>
                <w:sz w:val="20"/>
                <w:szCs w:val="20"/>
              </w:rPr>
            </w:pPr>
            <w:r>
              <w:rPr>
                <w:sz w:val="20"/>
                <w:szCs w:val="20"/>
              </w:rPr>
              <w:t>30</w:t>
            </w:r>
          </w:p>
        </w:tc>
        <w:tc>
          <w:tcPr>
            <w:tcW w:w="1701" w:type="dxa"/>
            <w:tcBorders>
              <w:left w:val="single" w:sz="4" w:space="0" w:color="auto"/>
            </w:tcBorders>
          </w:tcPr>
          <w:p w:rsidR="006816FA" w:rsidRPr="00AC2BDB" w:rsidRDefault="006816FA" w:rsidP="00BA72F9">
            <w:pPr>
              <w:jc w:val="center"/>
              <w:rPr>
                <w:sz w:val="20"/>
                <w:szCs w:val="20"/>
              </w:rPr>
            </w:pPr>
            <w:r>
              <w:rPr>
                <w:sz w:val="20"/>
                <w:szCs w:val="20"/>
              </w:rPr>
              <w:t>200</w:t>
            </w:r>
          </w:p>
        </w:tc>
        <w:tc>
          <w:tcPr>
            <w:tcW w:w="1701" w:type="dxa"/>
          </w:tcPr>
          <w:p w:rsidR="006816FA" w:rsidRPr="00AC2BDB" w:rsidRDefault="006816FA" w:rsidP="00BA72F9">
            <w:pPr>
              <w:jc w:val="center"/>
              <w:rPr>
                <w:sz w:val="20"/>
                <w:szCs w:val="20"/>
              </w:rPr>
            </w:pPr>
            <w:r>
              <w:rPr>
                <w:sz w:val="20"/>
                <w:szCs w:val="20"/>
              </w:rPr>
              <w:t>300</w:t>
            </w:r>
          </w:p>
        </w:tc>
        <w:tc>
          <w:tcPr>
            <w:tcW w:w="1701" w:type="dxa"/>
          </w:tcPr>
          <w:p w:rsidR="006816FA" w:rsidRPr="00AC2BDB" w:rsidRDefault="006816FA" w:rsidP="00BA72F9">
            <w:pPr>
              <w:jc w:val="center"/>
              <w:rPr>
                <w:sz w:val="20"/>
                <w:szCs w:val="20"/>
              </w:rPr>
            </w:pPr>
            <w:r>
              <w:rPr>
                <w:sz w:val="20"/>
                <w:szCs w:val="20"/>
              </w:rPr>
              <w:t>215</w:t>
            </w:r>
          </w:p>
        </w:tc>
      </w:tr>
    </w:tbl>
    <w:p w:rsidR="006816FA" w:rsidRDefault="006816FA" w:rsidP="006816FA"/>
    <w:p w:rsidR="006816FA" w:rsidRPr="001703D5" w:rsidRDefault="006816FA" w:rsidP="006816FA">
      <w:pPr>
        <w:rPr>
          <w:i/>
          <w:iCs/>
        </w:rPr>
      </w:pPr>
      <w:r w:rsidRPr="001703D5">
        <w:rPr>
          <w:i/>
          <w:iCs/>
        </w:rPr>
        <w:t>Poznámky:</w:t>
      </w:r>
    </w:p>
    <w:p w:rsidR="006816FA" w:rsidRPr="001703D5" w:rsidRDefault="006816FA" w:rsidP="006816FA">
      <w:pPr>
        <w:rPr>
          <w:i/>
          <w:iCs/>
        </w:rPr>
      </w:pPr>
      <w:r w:rsidRPr="001703D5">
        <w:rPr>
          <w:i/>
          <w:iCs/>
        </w:rPr>
        <w:t>1. Přitom se za největší hloubku drážky nebo výklenku uvažuje hloubka otvorů předvrtaných při vytváření drážky nebo výklenku.</w:t>
      </w:r>
    </w:p>
    <w:p w:rsidR="006816FA" w:rsidRPr="001703D5" w:rsidRDefault="006816FA" w:rsidP="006816FA">
      <w:pPr>
        <w:rPr>
          <w:i/>
          <w:iCs/>
        </w:rPr>
      </w:pPr>
      <w:r w:rsidRPr="001703D5">
        <w:rPr>
          <w:i/>
          <w:iCs/>
        </w:rPr>
        <w:t>2. Svislé drážky nedosahující výše než do třetiny výšky patra nad stropní desku mohou mít u stěn tloušťky &gt; 225 mm hloubku do 80 mm a šířku do 120 mm.</w:t>
      </w:r>
    </w:p>
    <w:p w:rsidR="006816FA" w:rsidRPr="001703D5" w:rsidRDefault="006816FA" w:rsidP="006816FA">
      <w:pPr>
        <w:rPr>
          <w:i/>
          <w:iCs/>
        </w:rPr>
      </w:pPr>
      <w:r w:rsidRPr="001703D5">
        <w:rPr>
          <w:i/>
          <w:iCs/>
        </w:rPr>
        <w:t>3. Vodorovná vzdálenost mezi sousedními drážkami nebo mezi drážkou a výklenkem nebo otvorem ve stěně nesmí být menší než 225 mm.</w:t>
      </w:r>
    </w:p>
    <w:p w:rsidR="006816FA" w:rsidRPr="001703D5" w:rsidRDefault="006816FA" w:rsidP="006816FA">
      <w:pPr>
        <w:rPr>
          <w:i/>
          <w:iCs/>
        </w:rPr>
      </w:pPr>
      <w:r w:rsidRPr="001703D5">
        <w:rPr>
          <w:i/>
          <w:iCs/>
        </w:rPr>
        <w:t>4. Vodorovná vzdálenost mezi dvěma sousedními výklenky bez ohledu, zda leží na stejném nebo opačných lících stěny, a mezi drážkou a otvorem ve stěně nesmí být menší než dvojnásobek šířky širší drážky.</w:t>
      </w:r>
    </w:p>
    <w:p w:rsidR="00406673" w:rsidRDefault="006816FA" w:rsidP="006816FA">
      <w:pPr>
        <w:rPr>
          <w:i/>
          <w:iCs/>
        </w:rPr>
      </w:pPr>
      <w:r w:rsidRPr="001703D5">
        <w:rPr>
          <w:i/>
          <w:iCs/>
        </w:rPr>
        <w:t>5. Součet šířek svislých drážek a výklenků nesmí být větší než 0,13násobek délky stěny.</w:t>
      </w:r>
    </w:p>
    <w:p w:rsidR="00482DC9" w:rsidRPr="002F2357" w:rsidRDefault="006816FA" w:rsidP="006816FA">
      <w:r>
        <w:t>Vodorovné a šikmé drážky by se v nosných stěnách neměly používat. Není-li možné se jim vyhnout, měly by být vzdáleny od horního nebo dolního líce stropu nejvíce o 1/8 výšky podlaží. Jejich celková hloubka přípustná bez posouzení statickým výpočtem je uvedena v následující tabulce:</w:t>
      </w:r>
    </w:p>
    <w:p w:rsidR="006816FA" w:rsidRDefault="006816FA" w:rsidP="006816FA"/>
    <w:tbl>
      <w:tblPr>
        <w:tblStyle w:val="Mkatabulky"/>
        <w:tblW w:w="0" w:type="auto"/>
        <w:jc w:val="center"/>
        <w:tblLook w:val="04A0"/>
      </w:tblPr>
      <w:tblGrid>
        <w:gridCol w:w="1758"/>
        <w:gridCol w:w="2206"/>
        <w:gridCol w:w="2127"/>
      </w:tblGrid>
      <w:tr w:rsidR="006816FA" w:rsidTr="00BA72F9">
        <w:trPr>
          <w:jc w:val="center"/>
        </w:trPr>
        <w:tc>
          <w:tcPr>
            <w:tcW w:w="1758" w:type="dxa"/>
            <w:vMerge w:val="restart"/>
            <w:tcBorders>
              <w:right w:val="double" w:sz="4" w:space="0" w:color="auto"/>
            </w:tcBorders>
          </w:tcPr>
          <w:p w:rsidR="006816FA" w:rsidRDefault="006816FA" w:rsidP="00BA72F9">
            <w:pPr>
              <w:jc w:val="center"/>
            </w:pPr>
            <w:r>
              <w:t>Tloušťka stěny</w:t>
            </w:r>
          </w:p>
          <w:p w:rsidR="006816FA" w:rsidRPr="00AC2BDB" w:rsidRDefault="006816FA" w:rsidP="00BA72F9">
            <w:pPr>
              <w:jc w:val="center"/>
            </w:pPr>
            <w:r>
              <w:rPr>
                <w:lang w:val="en-US"/>
              </w:rPr>
              <w:t>[mm]</w:t>
            </w:r>
          </w:p>
        </w:tc>
        <w:tc>
          <w:tcPr>
            <w:tcW w:w="4333" w:type="dxa"/>
            <w:gridSpan w:val="2"/>
            <w:tcBorders>
              <w:left w:val="double" w:sz="4" w:space="0" w:color="auto"/>
            </w:tcBorders>
          </w:tcPr>
          <w:p w:rsidR="006816FA" w:rsidRDefault="006816FA" w:rsidP="00BA72F9">
            <w:pPr>
              <w:jc w:val="center"/>
            </w:pPr>
            <w:r>
              <w:t>Největší hloubka drážky</w:t>
            </w:r>
          </w:p>
        </w:tc>
      </w:tr>
      <w:tr w:rsidR="006816FA" w:rsidTr="00BA72F9">
        <w:trPr>
          <w:jc w:val="center"/>
        </w:trPr>
        <w:tc>
          <w:tcPr>
            <w:tcW w:w="1758" w:type="dxa"/>
            <w:vMerge/>
            <w:tcBorders>
              <w:bottom w:val="double" w:sz="4" w:space="0" w:color="auto"/>
              <w:right w:val="double" w:sz="4" w:space="0" w:color="auto"/>
            </w:tcBorders>
          </w:tcPr>
          <w:p w:rsidR="006816FA" w:rsidRDefault="006816FA" w:rsidP="00BA72F9">
            <w:pPr>
              <w:jc w:val="center"/>
            </w:pPr>
          </w:p>
        </w:tc>
        <w:tc>
          <w:tcPr>
            <w:tcW w:w="2206" w:type="dxa"/>
            <w:tcBorders>
              <w:left w:val="double" w:sz="4" w:space="0" w:color="auto"/>
              <w:bottom w:val="double" w:sz="4" w:space="0" w:color="auto"/>
            </w:tcBorders>
          </w:tcPr>
          <w:p w:rsidR="006816FA" w:rsidRDefault="006816FA" w:rsidP="00BA72F9">
            <w:pPr>
              <w:jc w:val="center"/>
            </w:pPr>
            <w:r>
              <w:t>Neomezená délka</w:t>
            </w:r>
          </w:p>
        </w:tc>
        <w:tc>
          <w:tcPr>
            <w:tcW w:w="2127" w:type="dxa"/>
            <w:tcBorders>
              <w:bottom w:val="double" w:sz="4" w:space="0" w:color="auto"/>
            </w:tcBorders>
          </w:tcPr>
          <w:p w:rsidR="006816FA" w:rsidRDefault="006816FA" w:rsidP="00BA72F9">
            <w:pPr>
              <w:jc w:val="center"/>
            </w:pPr>
            <w:r>
              <w:t>Délka do 1250 mm</w:t>
            </w:r>
          </w:p>
        </w:tc>
      </w:tr>
      <w:tr w:rsidR="006816FA" w:rsidTr="00BA72F9">
        <w:trPr>
          <w:jc w:val="center"/>
        </w:trPr>
        <w:tc>
          <w:tcPr>
            <w:tcW w:w="1758" w:type="dxa"/>
            <w:tcBorders>
              <w:top w:val="double" w:sz="4" w:space="0" w:color="auto"/>
              <w:right w:val="double" w:sz="4" w:space="0" w:color="auto"/>
            </w:tcBorders>
          </w:tcPr>
          <w:p w:rsidR="006816FA" w:rsidRDefault="006816FA" w:rsidP="00BA72F9">
            <w:pPr>
              <w:jc w:val="center"/>
            </w:pPr>
            <w:r>
              <w:t>85 až 115</w:t>
            </w:r>
          </w:p>
        </w:tc>
        <w:tc>
          <w:tcPr>
            <w:tcW w:w="2206" w:type="dxa"/>
            <w:tcBorders>
              <w:top w:val="double" w:sz="4" w:space="0" w:color="auto"/>
              <w:left w:val="double" w:sz="4" w:space="0" w:color="auto"/>
            </w:tcBorders>
          </w:tcPr>
          <w:p w:rsidR="006816FA" w:rsidRDefault="006816FA" w:rsidP="00BA72F9">
            <w:pPr>
              <w:jc w:val="center"/>
            </w:pPr>
            <w:r>
              <w:t>0</w:t>
            </w:r>
          </w:p>
        </w:tc>
        <w:tc>
          <w:tcPr>
            <w:tcW w:w="2127" w:type="dxa"/>
            <w:tcBorders>
              <w:top w:val="double" w:sz="4" w:space="0" w:color="auto"/>
            </w:tcBorders>
          </w:tcPr>
          <w:p w:rsidR="006816FA" w:rsidRDefault="006816FA" w:rsidP="00BA72F9">
            <w:pPr>
              <w:jc w:val="center"/>
            </w:pPr>
            <w:r>
              <w:t>0</w:t>
            </w:r>
          </w:p>
        </w:tc>
      </w:tr>
      <w:tr w:rsidR="006816FA" w:rsidTr="00BA72F9">
        <w:trPr>
          <w:jc w:val="center"/>
        </w:trPr>
        <w:tc>
          <w:tcPr>
            <w:tcW w:w="1758" w:type="dxa"/>
            <w:tcBorders>
              <w:right w:val="double" w:sz="4" w:space="0" w:color="auto"/>
            </w:tcBorders>
          </w:tcPr>
          <w:p w:rsidR="006816FA" w:rsidRDefault="006816FA" w:rsidP="00BA72F9">
            <w:pPr>
              <w:jc w:val="center"/>
            </w:pPr>
            <w:r>
              <w:t>116 až 175</w:t>
            </w:r>
          </w:p>
        </w:tc>
        <w:tc>
          <w:tcPr>
            <w:tcW w:w="2206" w:type="dxa"/>
            <w:tcBorders>
              <w:left w:val="double" w:sz="4" w:space="0" w:color="auto"/>
            </w:tcBorders>
          </w:tcPr>
          <w:p w:rsidR="006816FA" w:rsidRDefault="006816FA" w:rsidP="00BA72F9">
            <w:pPr>
              <w:jc w:val="center"/>
            </w:pPr>
            <w:r>
              <w:t>0</w:t>
            </w:r>
          </w:p>
        </w:tc>
        <w:tc>
          <w:tcPr>
            <w:tcW w:w="2127" w:type="dxa"/>
          </w:tcPr>
          <w:p w:rsidR="006816FA" w:rsidRDefault="006816FA" w:rsidP="00BA72F9">
            <w:pPr>
              <w:jc w:val="center"/>
            </w:pPr>
            <w:r>
              <w:t>15</w:t>
            </w:r>
          </w:p>
        </w:tc>
      </w:tr>
      <w:tr w:rsidR="006816FA" w:rsidTr="00BA72F9">
        <w:trPr>
          <w:jc w:val="center"/>
        </w:trPr>
        <w:tc>
          <w:tcPr>
            <w:tcW w:w="1758" w:type="dxa"/>
            <w:tcBorders>
              <w:right w:val="double" w:sz="4" w:space="0" w:color="auto"/>
            </w:tcBorders>
          </w:tcPr>
          <w:p w:rsidR="006816FA" w:rsidRDefault="006816FA" w:rsidP="00BA72F9">
            <w:pPr>
              <w:jc w:val="center"/>
            </w:pPr>
            <w:r>
              <w:t>176 až 225</w:t>
            </w:r>
          </w:p>
        </w:tc>
        <w:tc>
          <w:tcPr>
            <w:tcW w:w="2206" w:type="dxa"/>
            <w:tcBorders>
              <w:left w:val="double" w:sz="4" w:space="0" w:color="auto"/>
            </w:tcBorders>
          </w:tcPr>
          <w:p w:rsidR="006816FA" w:rsidRDefault="006816FA" w:rsidP="00BA72F9">
            <w:pPr>
              <w:jc w:val="center"/>
            </w:pPr>
            <w:r>
              <w:t>10</w:t>
            </w:r>
          </w:p>
        </w:tc>
        <w:tc>
          <w:tcPr>
            <w:tcW w:w="2127" w:type="dxa"/>
          </w:tcPr>
          <w:p w:rsidR="006816FA" w:rsidRDefault="006816FA" w:rsidP="00BA72F9">
            <w:pPr>
              <w:jc w:val="center"/>
            </w:pPr>
            <w:r>
              <w:t>20</w:t>
            </w:r>
          </w:p>
        </w:tc>
      </w:tr>
      <w:tr w:rsidR="006816FA" w:rsidTr="00BA72F9">
        <w:trPr>
          <w:jc w:val="center"/>
        </w:trPr>
        <w:tc>
          <w:tcPr>
            <w:tcW w:w="1758" w:type="dxa"/>
            <w:tcBorders>
              <w:right w:val="double" w:sz="4" w:space="0" w:color="auto"/>
            </w:tcBorders>
          </w:tcPr>
          <w:p w:rsidR="006816FA" w:rsidRDefault="006816FA" w:rsidP="00BA72F9">
            <w:pPr>
              <w:jc w:val="center"/>
            </w:pPr>
            <w:r>
              <w:t>226 až 300</w:t>
            </w:r>
          </w:p>
        </w:tc>
        <w:tc>
          <w:tcPr>
            <w:tcW w:w="2206" w:type="dxa"/>
            <w:tcBorders>
              <w:left w:val="double" w:sz="4" w:space="0" w:color="auto"/>
            </w:tcBorders>
          </w:tcPr>
          <w:p w:rsidR="006816FA" w:rsidRDefault="006816FA" w:rsidP="00BA72F9">
            <w:pPr>
              <w:jc w:val="center"/>
            </w:pPr>
            <w:r>
              <w:t>15</w:t>
            </w:r>
          </w:p>
        </w:tc>
        <w:tc>
          <w:tcPr>
            <w:tcW w:w="2127" w:type="dxa"/>
          </w:tcPr>
          <w:p w:rsidR="006816FA" w:rsidRDefault="006816FA" w:rsidP="00BA72F9">
            <w:pPr>
              <w:jc w:val="center"/>
            </w:pPr>
            <w:r>
              <w:t>25</w:t>
            </w:r>
          </w:p>
        </w:tc>
      </w:tr>
      <w:tr w:rsidR="006816FA" w:rsidTr="00BA72F9">
        <w:trPr>
          <w:jc w:val="center"/>
        </w:trPr>
        <w:tc>
          <w:tcPr>
            <w:tcW w:w="1758" w:type="dxa"/>
            <w:tcBorders>
              <w:right w:val="double" w:sz="4" w:space="0" w:color="auto"/>
            </w:tcBorders>
          </w:tcPr>
          <w:p w:rsidR="006816FA" w:rsidRDefault="006816FA" w:rsidP="00BA72F9">
            <w:pPr>
              <w:jc w:val="center"/>
            </w:pPr>
            <w:r>
              <w:lastRenderedPageBreak/>
              <w:t>Více než 300</w:t>
            </w:r>
          </w:p>
        </w:tc>
        <w:tc>
          <w:tcPr>
            <w:tcW w:w="2206" w:type="dxa"/>
            <w:tcBorders>
              <w:left w:val="double" w:sz="4" w:space="0" w:color="auto"/>
            </w:tcBorders>
          </w:tcPr>
          <w:p w:rsidR="006816FA" w:rsidRDefault="006816FA" w:rsidP="00BA72F9">
            <w:pPr>
              <w:jc w:val="center"/>
            </w:pPr>
            <w:r>
              <w:t>20</w:t>
            </w:r>
          </w:p>
        </w:tc>
        <w:tc>
          <w:tcPr>
            <w:tcW w:w="2127" w:type="dxa"/>
          </w:tcPr>
          <w:p w:rsidR="006816FA" w:rsidRDefault="006816FA" w:rsidP="00BA72F9">
            <w:pPr>
              <w:jc w:val="center"/>
            </w:pPr>
            <w:r>
              <w:t>30</w:t>
            </w:r>
          </w:p>
        </w:tc>
      </w:tr>
    </w:tbl>
    <w:p w:rsidR="006816FA" w:rsidRDefault="006816FA" w:rsidP="006816FA"/>
    <w:p w:rsidR="006816FA" w:rsidRPr="001703D5" w:rsidRDefault="006816FA" w:rsidP="006816FA">
      <w:pPr>
        <w:rPr>
          <w:i/>
          <w:iCs/>
        </w:rPr>
      </w:pPr>
      <w:r w:rsidRPr="001703D5">
        <w:rPr>
          <w:i/>
          <w:iCs/>
        </w:rPr>
        <w:t>Poznámky:</w:t>
      </w:r>
    </w:p>
    <w:p w:rsidR="006816FA" w:rsidRPr="001703D5" w:rsidRDefault="006816FA" w:rsidP="006816FA">
      <w:pPr>
        <w:rPr>
          <w:i/>
          <w:iCs/>
        </w:rPr>
      </w:pPr>
      <w:r w:rsidRPr="001703D5">
        <w:rPr>
          <w:i/>
          <w:iCs/>
        </w:rPr>
        <w:t>1. Největší hloubka drážky nesmí být překročena ani v místech otvorů, které byly předvrtány při vytvoření drážky.</w:t>
      </w:r>
    </w:p>
    <w:p w:rsidR="006816FA" w:rsidRPr="001703D5" w:rsidRDefault="006816FA" w:rsidP="006816FA">
      <w:pPr>
        <w:rPr>
          <w:i/>
          <w:iCs/>
        </w:rPr>
      </w:pPr>
      <w:r w:rsidRPr="001703D5">
        <w:rPr>
          <w:i/>
          <w:iCs/>
        </w:rPr>
        <w:t>2. Vodorovná vzdálenost mezi koncem drážky a otvorem ve stěně nesmí být menší než 500 mm.</w:t>
      </w:r>
    </w:p>
    <w:p w:rsidR="006816FA" w:rsidRPr="001703D5" w:rsidRDefault="006816FA" w:rsidP="006816FA">
      <w:pPr>
        <w:rPr>
          <w:i/>
          <w:iCs/>
        </w:rPr>
      </w:pPr>
      <w:r w:rsidRPr="001703D5">
        <w:rPr>
          <w:i/>
          <w:iCs/>
        </w:rPr>
        <w:t>3. Vodorovná vzdálenost mezi sousedními drážkami omezené délky nesmí být menší než dvojnásobná délka delší z nich, bez ohledu na to, zda leží na stejné nebo opačných stranách stěny.</w:t>
      </w:r>
    </w:p>
    <w:p w:rsidR="006816FA" w:rsidRPr="001703D5" w:rsidRDefault="006816FA" w:rsidP="006816FA">
      <w:pPr>
        <w:rPr>
          <w:i/>
          <w:iCs/>
        </w:rPr>
      </w:pPr>
      <w:r w:rsidRPr="001703D5">
        <w:rPr>
          <w:i/>
          <w:iCs/>
        </w:rPr>
        <w:t>4. U stěn o tloušťce &gt; 175 mm se smí přípustná hloubka drážky o 10 mm zvětšit, pokud bude drážka vyřezána na danou hloubku. Tímto způsobem mohou být vyřezány drážky do hloubky 10 mm z obou stran stěny, která má tloušťku nejméně 225 mm.</w:t>
      </w:r>
    </w:p>
    <w:p w:rsidR="00E8601B" w:rsidRDefault="006816FA" w:rsidP="00F8506A">
      <w:pPr>
        <w:rPr>
          <w:i/>
          <w:iCs/>
        </w:rPr>
      </w:pPr>
      <w:r w:rsidRPr="001703D5">
        <w:rPr>
          <w:i/>
          <w:iCs/>
        </w:rPr>
        <w:t>5. Šířka drážek nesmí být větší než polovina tloušťky stěny v místě oslabení. Jestliže bude některá z mezí uvedených v obou tabulkách překročena, bude se únosnost stěny v tlaku, smyku a ohybu ověřit výpočtem.</w:t>
      </w:r>
    </w:p>
    <w:p w:rsidR="00E8601B" w:rsidRPr="00A20CC9" w:rsidRDefault="00E8601B" w:rsidP="00AC0C5F">
      <w:pPr>
        <w:pStyle w:val="Nadpis2"/>
        <w:numPr>
          <w:ilvl w:val="1"/>
          <w:numId w:val="1"/>
        </w:numPr>
        <w:spacing w:before="60" w:after="60" w:line="360" w:lineRule="auto"/>
        <w:ind w:left="578" w:hanging="578"/>
      </w:pPr>
      <w:bookmarkStart w:id="20" w:name="_Ref343435581"/>
      <w:bookmarkStart w:id="21" w:name="_Toc81840131"/>
      <w:bookmarkStart w:id="22" w:name="_Toc147739204"/>
      <w:r>
        <w:t xml:space="preserve">Provádění </w:t>
      </w:r>
      <w:r w:rsidRPr="00A20CC9">
        <w:t>dřevěných konstrukcí</w:t>
      </w:r>
      <w:bookmarkEnd w:id="20"/>
      <w:bookmarkEnd w:id="21"/>
      <w:bookmarkEnd w:id="22"/>
    </w:p>
    <w:p w:rsidR="00E8601B" w:rsidRPr="003A57F0" w:rsidRDefault="00E8601B" w:rsidP="00E8601B">
      <w:pPr>
        <w:rPr>
          <w:rFonts w:eastAsia="Calibri" w:cs="Arial"/>
        </w:rPr>
      </w:pPr>
      <w:r w:rsidRPr="003A57F0">
        <w:rPr>
          <w:rFonts w:eastAsia="Calibri" w:cs="Arial"/>
        </w:rPr>
        <w:t>Do konstrukce se smí zabudovat jen takové řezivo, jehož relativní vlhkost nesmí překročit 20%. U všech prvků, které budou napevno kotveny v</w:t>
      </w:r>
      <w:r w:rsidRPr="003A57F0">
        <w:rPr>
          <w:rFonts w:cs="Arial"/>
        </w:rPr>
        <w:t> </w:t>
      </w:r>
      <w:r w:rsidRPr="003A57F0">
        <w:rPr>
          <w:rFonts w:eastAsia="Calibri" w:cs="Arial"/>
        </w:rPr>
        <w:t>konstrukci</w:t>
      </w:r>
      <w:r w:rsidRPr="003A57F0">
        <w:rPr>
          <w:rFonts w:cs="Arial"/>
        </w:rPr>
        <w:t>,</w:t>
      </w:r>
      <w:r w:rsidRPr="003A57F0">
        <w:rPr>
          <w:rFonts w:eastAsia="Calibri" w:cs="Arial"/>
        </w:rPr>
        <w:t xml:space="preserve"> dojde při jejich nedostatečném vysušení před zabudováním do konstrukce k jejich významnému narušení výsušnými trhlinami, které mohou významně omezit funkčnost celé konstrukce! Výsušné trhliny jsou přitom vždy doprovázeny významnými deformacemi prvků! Všechny viditelné konstrukce (bez opláštění) budou provedeny z kvalitně a pozvolna vysušeného hoblovaného řeziva třídy C24, popř. GL24h. Řezivo musí mít po zhoblování rozměr průřezu uvedený na výkresech! Řezivo nesmí vykazovat známky porušení výsušnými trhlinami.</w:t>
      </w:r>
    </w:p>
    <w:p w:rsidR="00E8601B" w:rsidRDefault="00E8601B" w:rsidP="00E8601B">
      <w:pPr>
        <w:rPr>
          <w:rFonts w:cs="Arial"/>
        </w:rPr>
      </w:pPr>
      <w:r w:rsidRPr="003A57F0">
        <w:rPr>
          <w:rFonts w:cs="Arial"/>
        </w:rPr>
        <w:t>Veškeré řezivo bude ošetřeno impregnací proti dřevokaznému hmyzu a houbám, prahy pozednice v přímém styku se zdivem nebo železobetonem budou chráněny hloubkově tlakovou impregnací. Prvky budou impregnovány látkou s účinností min. F</w:t>
      </w:r>
      <w:r w:rsidRPr="003A57F0">
        <w:rPr>
          <w:rFonts w:cs="Arial"/>
          <w:vertAlign w:val="subscript"/>
        </w:rPr>
        <w:t>A</w:t>
      </w:r>
      <w:r w:rsidRPr="003A57F0">
        <w:rPr>
          <w:rFonts w:cs="Arial"/>
        </w:rPr>
        <w:t>, F</w:t>
      </w:r>
      <w:r w:rsidRPr="003A57F0">
        <w:rPr>
          <w:rFonts w:cs="Arial"/>
          <w:vertAlign w:val="subscript"/>
        </w:rPr>
        <w:t>B</w:t>
      </w:r>
      <w:r w:rsidRPr="003A57F0">
        <w:rPr>
          <w:rFonts w:cs="Arial"/>
        </w:rPr>
        <w:t xml:space="preserve"> B, P, I</w:t>
      </w:r>
      <w:r w:rsidRPr="003A57F0">
        <w:rPr>
          <w:rFonts w:cs="Arial"/>
          <w:vertAlign w:val="subscript"/>
        </w:rPr>
        <w:t>P</w:t>
      </w:r>
      <w:r w:rsidRPr="003A57F0">
        <w:rPr>
          <w:rFonts w:cs="Arial"/>
        </w:rPr>
        <w:t>, I</w:t>
      </w:r>
      <w:r w:rsidRPr="003A57F0">
        <w:rPr>
          <w:rFonts w:cs="Arial"/>
          <w:vertAlign w:val="subscript"/>
        </w:rPr>
        <w:t>I</w:t>
      </w:r>
      <w:r w:rsidRPr="003A57F0">
        <w:rPr>
          <w:rFonts w:cs="Arial"/>
        </w:rPr>
        <w:t>, K. Aplikace chemických přípravků na dřevo jakkoli znečištěné (stavební materiál, prach, holubí trus, zbytky nátěrů protipožárních, laků, vápna aj.) je neúčinná a zbytečná a musí být hodnocena jako závažné porušení technologie. Stávající dřevěné prvky musí být před impregnací dokonale očištěné, nejlépe povrchově přebroušené, aby bylo dosaženo předepsaného příjmu, který zaručuje účinnost přípravku. Aplikace chemických přípravků na dřevo „vlhké“ (vlhkost vyšší než 25%) je rovněž nepřípustná. Předpokladem dlouhodobé účinnosti všech impregnačních přípravků je udržovat dřevěné prvky stavebně technickými opatřeními v trvale suchém prostředí, což je současně prevence proti všem biotickým škůdcům. Při chemické ochraně dřeva je třeba dodržovat platné normy: ČSN EN 335-1,2. ČSN EN 351-1. ČSN 49 0615. ČSN ES 599-1,2. ČSN 490600. ČSN 490600-1. ČSN 490615. Speciální sanační činnosti patří mezi živnosti vázané s nutností odborné způsobilosti udělené také hlavním hygienikem. Běžná stavební firma tyto práce nemůže provádět. Bez uvedených oprávnění nemůže být poskytnuta záruka kvality.</w:t>
      </w:r>
    </w:p>
    <w:p w:rsidR="00BF4245" w:rsidRPr="00C72802" w:rsidRDefault="00BF4245" w:rsidP="00BF4245">
      <w:pPr>
        <w:pStyle w:val="Nadpis2"/>
        <w:numPr>
          <w:ilvl w:val="1"/>
          <w:numId w:val="1"/>
        </w:numPr>
        <w:spacing w:line="264" w:lineRule="auto"/>
        <w:ind w:left="578" w:hanging="578"/>
      </w:pPr>
      <w:bookmarkStart w:id="23" w:name="_Toc102644549"/>
      <w:bookmarkStart w:id="24" w:name="_Toc147739205"/>
      <w:r w:rsidRPr="00C72802">
        <w:t>Provádění železobetonových konstrukcí</w:t>
      </w:r>
      <w:bookmarkEnd w:id="23"/>
      <w:bookmarkEnd w:id="24"/>
    </w:p>
    <w:p w:rsidR="00BF4245" w:rsidRPr="00C72802" w:rsidRDefault="00BF4245" w:rsidP="00BF4245">
      <w:r w:rsidRPr="00C72802">
        <w:t>Pokud není v technické zprávě uvedeno jinak je nutné při provádění dodržovat zejména tyto ČSN a to i jejich doporučené oddíly:</w:t>
      </w:r>
    </w:p>
    <w:p w:rsidR="00BF4245" w:rsidRPr="00C72802" w:rsidRDefault="00BF4245" w:rsidP="00BF4245">
      <w:pPr>
        <w:pStyle w:val="Bezmezer"/>
        <w:numPr>
          <w:ilvl w:val="0"/>
          <w:numId w:val="28"/>
        </w:numPr>
        <w:spacing w:after="100" w:line="264" w:lineRule="auto"/>
      </w:pPr>
      <w:r w:rsidRPr="00C72802">
        <w:t>ČSN EN 13670 Provádění betonových konstrukcí</w:t>
      </w:r>
    </w:p>
    <w:p w:rsidR="00BF4245" w:rsidRPr="00C72802" w:rsidRDefault="00BF4245" w:rsidP="00BF4245">
      <w:pPr>
        <w:pStyle w:val="Bezmezer"/>
        <w:numPr>
          <w:ilvl w:val="0"/>
          <w:numId w:val="28"/>
        </w:numPr>
        <w:spacing w:after="100" w:line="264" w:lineRule="auto"/>
      </w:pPr>
      <w:r w:rsidRPr="00C72802">
        <w:t>ČSN EN 206 Beton - Specifikace, vlastnosti, výroba a shoda</w:t>
      </w:r>
    </w:p>
    <w:p w:rsidR="00BF4245" w:rsidRPr="00C72802" w:rsidRDefault="00BF4245" w:rsidP="00BF4245">
      <w:pPr>
        <w:pStyle w:val="Bezmezer"/>
        <w:numPr>
          <w:ilvl w:val="0"/>
          <w:numId w:val="28"/>
        </w:numPr>
        <w:spacing w:after="100" w:line="264" w:lineRule="auto"/>
      </w:pPr>
      <w:r w:rsidRPr="00C72802">
        <w:t>ČSN 73 0205 Navrhování geometrické přesnosti</w:t>
      </w:r>
    </w:p>
    <w:p w:rsidR="00BF4245" w:rsidRPr="00C72802" w:rsidRDefault="00BF4245" w:rsidP="00BF4245">
      <w:pPr>
        <w:pStyle w:val="Bezmezer"/>
        <w:numPr>
          <w:ilvl w:val="0"/>
          <w:numId w:val="28"/>
        </w:numPr>
        <w:spacing w:after="100" w:line="264" w:lineRule="auto"/>
      </w:pPr>
      <w:r w:rsidRPr="00C72802">
        <w:lastRenderedPageBreak/>
        <w:t>ČSN 73 0212-6 Geometrická přesnost ve výstavbě. Kontrola přesnosti.</w:t>
      </w:r>
    </w:p>
    <w:p w:rsidR="00BF4245" w:rsidRPr="00C72802" w:rsidRDefault="00BF4245" w:rsidP="00BF4245">
      <w:r w:rsidRPr="00C72802">
        <w:t>Umístění pracovních spár a jejich úpravu je třeba dohodnout s projektantem, dle dodavatelem navrženého postupu betonáže. Při ošetřování betonu je nutné postupovat dle ČSN EN 13670.</w:t>
      </w:r>
    </w:p>
    <w:p w:rsidR="00BF4245" w:rsidRPr="00C72802" w:rsidRDefault="00BF4245" w:rsidP="00BF4245">
      <w:pPr>
        <w:tabs>
          <w:tab w:val="left" w:pos="851"/>
        </w:tabs>
      </w:pPr>
      <w:r w:rsidRPr="00C72802">
        <w:t>Armatury budou ohýbány za studena podle norem a předpisů (např. poloměry ohybů). Nutno dodržet umístění výztuže a délky přesahů podle projektu. Armatura musí být uložena před betonáží tak, aby se při pokládání betonu nemohla posunout.</w:t>
      </w:r>
    </w:p>
    <w:p w:rsidR="00BF4245" w:rsidRPr="00C72802" w:rsidRDefault="00BF4245" w:rsidP="00BF4245">
      <w:pPr>
        <w:tabs>
          <w:tab w:val="left" w:pos="851"/>
        </w:tabs>
      </w:pPr>
      <w:r w:rsidRPr="00C72802">
        <w:t>Monolitický beton bude zhutňován ponorným vibrováním. Jakmile se okolo vibrátoru či na povrchu betonu objeví cementové mléko, je nutno operaci přerušit. Frekvence vibrátoru bude odpovídat zrnitosti betonu a seřídí se podle zkoušek před vibrováním a podle konzistence betonu. Vibrování povrchovým vibrátorem (na kovovém a pevném bednění) je možno použít jen v případech, kde vibrování ponorným vibrátorem není možné.</w:t>
      </w:r>
    </w:p>
    <w:p w:rsidR="00BF4245" w:rsidRPr="00C72802" w:rsidRDefault="00BF4245" w:rsidP="00BF4245">
      <w:pPr>
        <w:tabs>
          <w:tab w:val="left" w:pos="851"/>
        </w:tabs>
      </w:pPr>
      <w:r w:rsidRPr="00C72802">
        <w:t>Pro doložení kvality betonových a maltových směsí budou prováděny pravidelné dokladové zkoušky (např. sednutí kužele, Schmidtovým kladívkem, krychelně). Ošetřování čerstvého betonu – čerstvý beton je třeba ošetřovat především kropením, chránit před vysokými teplotami, které by vedly ke vzniku smršťovacích trhlin nad povolenou hodnotu apod.</w:t>
      </w:r>
    </w:p>
    <w:p w:rsidR="00BF4245" w:rsidRDefault="00BF4245" w:rsidP="00BF4245">
      <w:pPr>
        <w:tabs>
          <w:tab w:val="left" w:pos="851"/>
        </w:tabs>
      </w:pPr>
      <w:r w:rsidRPr="00C72802">
        <w:t>Betonáž za nízkých teplot – je nutné přijmout veškerá opatření nutná při výrobě betonové směsi, při jejím transportu a veškerá opatření chránící beton před dosažením patřičné pevnosti.</w:t>
      </w:r>
    </w:p>
    <w:p w:rsidR="00BF4245" w:rsidRPr="00C72802" w:rsidRDefault="00BF4245" w:rsidP="00BF4245">
      <w:pPr>
        <w:pStyle w:val="Nadpis3"/>
        <w:numPr>
          <w:ilvl w:val="2"/>
          <w:numId w:val="1"/>
        </w:numPr>
        <w:tabs>
          <w:tab w:val="clear" w:pos="567"/>
        </w:tabs>
        <w:spacing w:before="60" w:after="60" w:line="264" w:lineRule="auto"/>
        <w:jc w:val="left"/>
      </w:pPr>
      <w:r w:rsidRPr="00C72802">
        <w:t>Povrchová kvalita ostatních betonových ploch</w:t>
      </w:r>
    </w:p>
    <w:p w:rsidR="00BF4245" w:rsidRPr="00C72802" w:rsidRDefault="00BF4245" w:rsidP="00BF4245">
      <w:pPr>
        <w:pStyle w:val="Nadpis4"/>
      </w:pPr>
      <w:r w:rsidRPr="00C72802">
        <w:t>Stěrkované a omítané plochy v interiéru a exteriéru</w:t>
      </w:r>
    </w:p>
    <w:p w:rsidR="00BF4245" w:rsidRPr="00C72802" w:rsidRDefault="00BF4245" w:rsidP="00BF4245">
      <w:r w:rsidRPr="00C72802">
        <w:t>Tyto plochy budou mít finální povrchovou úpravu hladkou stěrkou. Požadavky na povrchovou kvalitu – povrchy určené pod omítky a obklady budou očištěny po odbednění, bez větších výstupků tak, aby na nich povrchová úprava pevně držela, neodlupovala se a neoprýskávala; povrchy určené pod tenkovrstvé stěrky budou očištěny a povrch bude náležitě vyspraven a vyrovnán – vystupující části je nutno odstranit a chybějící místa vyplnit. Bude doložen vzorek provedení stěrkované plochy.</w:t>
      </w:r>
    </w:p>
    <w:p w:rsidR="00BF4245" w:rsidRPr="00C72802" w:rsidRDefault="00BF4245" w:rsidP="00BF4245">
      <w:pPr>
        <w:pStyle w:val="Nadpis4"/>
      </w:pPr>
      <w:r w:rsidRPr="00C72802">
        <w:t>Povrchová kvalita ŽB konstrukcí bez zvláštních nároků</w:t>
      </w:r>
    </w:p>
    <w:p w:rsidR="00BF4245" w:rsidRPr="00C72802" w:rsidRDefault="00BF4245" w:rsidP="00BF4245">
      <w:pPr>
        <w:tabs>
          <w:tab w:val="left" w:pos="851"/>
        </w:tabs>
      </w:pPr>
      <w:r w:rsidRPr="00C72802">
        <w:t xml:space="preserve">Jde o všechny konstrukce, které netvoří finální povrchy prostorů objektu a jsou vizuálně nevnímatelné a nepřichází do kontaktu s lidmi. Jsou to zasypané, obložené, či obestavěné konstrukce. Na jejich povrchovou kvalitu jsou kladeny nároky pouze technické, bezpečnostní a bezkolizní pro návaznosti ostatních konstrukcí. </w:t>
      </w:r>
    </w:p>
    <w:p w:rsidR="00BF4245" w:rsidRPr="00C72802" w:rsidRDefault="00BF4245" w:rsidP="00BF4245">
      <w:pPr>
        <w:tabs>
          <w:tab w:val="left" w:pos="851"/>
        </w:tabs>
      </w:pPr>
      <w:r w:rsidRPr="00C72802">
        <w:t>Povrchy určené pod omítky a obklady budou očištěny po odbednění, bez větších výstupků tak, aby na nich povrchová úprava pevně držela, neodlupovala se a neoprýskávala; vystupující části je nutno odstranit a chybějící místa vyplnit.</w:t>
      </w:r>
    </w:p>
    <w:p w:rsidR="00BF4245" w:rsidRPr="00C72802" w:rsidRDefault="00BF4245" w:rsidP="00BF4245">
      <w:pPr>
        <w:pStyle w:val="Nadpis4"/>
      </w:pPr>
      <w:r w:rsidRPr="00C72802">
        <w:t xml:space="preserve">Konstrukce nesoucí podlahové vrstvy </w:t>
      </w:r>
    </w:p>
    <w:p w:rsidR="00BF4245" w:rsidRDefault="00BF4245" w:rsidP="00BF4245">
      <w:pPr>
        <w:tabs>
          <w:tab w:val="left" w:pos="851"/>
        </w:tabs>
      </w:pPr>
      <w:r w:rsidRPr="00C72802">
        <w:t>Horní plochy železobetonových stropních desek je nutno při betonáži stáhnout do naprosté roviny. Povrch betonových konstrukcí musí být v takové kvalitě a s takovou úpravou aby pozdější mazaniny, protihlukové plovoucí podlahy nebo jiné podlahy mohly být pokládány přímo na nosnou konstrukci. Jestliže nebude povrch těmto požadavkům odpovídat, musí dodavatel na vlastní náklady vhodným materiálem vyrovnat nerovnosti, díry a prohnutí, respektive zdrsnit povrch. Stažení horního líce stropních desek vibrační latí je nezbytné.</w:t>
      </w:r>
    </w:p>
    <w:p w:rsidR="00BF4245" w:rsidRPr="00C72802" w:rsidRDefault="00BF4245" w:rsidP="00BF4245">
      <w:pPr>
        <w:pStyle w:val="Nadpis2"/>
        <w:numPr>
          <w:ilvl w:val="1"/>
          <w:numId w:val="1"/>
        </w:numPr>
        <w:spacing w:before="0" w:line="264" w:lineRule="auto"/>
        <w:rPr>
          <w:snapToGrid w:val="0"/>
        </w:rPr>
      </w:pPr>
      <w:bookmarkStart w:id="25" w:name="_Toc102644550"/>
      <w:bookmarkStart w:id="26" w:name="_Toc147739206"/>
      <w:r w:rsidRPr="00C72802">
        <w:rPr>
          <w:snapToGrid w:val="0"/>
        </w:rPr>
        <w:t>Výrobní tolerance</w:t>
      </w:r>
      <w:bookmarkEnd w:id="25"/>
      <w:bookmarkEnd w:id="26"/>
    </w:p>
    <w:p w:rsidR="00BF4245" w:rsidRPr="00C72802" w:rsidRDefault="00BF4245" w:rsidP="00BF4245">
      <w:r w:rsidRPr="00C72802">
        <w:t>Práce budou provedeny v souladu s ustanoveními ČSN EN 13670, ČSN EN 206-</w:t>
      </w:r>
      <w:smartTag w:uri="urn:schemas-microsoft-com:office:smarttags" w:element="metricconverter">
        <w:smartTagPr>
          <w:attr w:name="ProductID" w:val="1, a"/>
        </w:smartTagPr>
        <w:r w:rsidRPr="00C72802">
          <w:t>1, a</w:t>
        </w:r>
      </w:smartTag>
      <w:r w:rsidRPr="00C72802">
        <w:t xml:space="preserve"> ČSN 73 1201, ČSN 73 0210-1, ČSN 73 0205.</w:t>
      </w:r>
    </w:p>
    <w:p w:rsidR="00BF4245" w:rsidRPr="00C72802" w:rsidRDefault="00BF4245" w:rsidP="00BF4245">
      <w:r w:rsidRPr="00C72802">
        <w:t>Všechny prvky budou před provedením geodeticky vytýčeny. Dodavatel je povinen provádět v průběhu výstavby kontrolní měření výšek, os a rohových bodů a rovněž postaveného bednění všech železobetonových dílů. O kontrolních měřeních je nutno zpracovat protokoly a předložit je zadavateli.</w:t>
      </w:r>
    </w:p>
    <w:p w:rsidR="00BF4245" w:rsidRPr="00C72802" w:rsidRDefault="00BF4245" w:rsidP="00BF4245">
      <w:r w:rsidRPr="00C72802">
        <w:lastRenderedPageBreak/>
        <w:t>Požadavky na dodržení výrobních rozměrových a povrchových tolerancí železobetonových konstrukcí ze strany projektanta budou následující:</w:t>
      </w:r>
    </w:p>
    <w:p w:rsidR="00BF4245" w:rsidRPr="00C72802" w:rsidRDefault="00BF4245" w:rsidP="00BF4245">
      <w:pPr>
        <w:pStyle w:val="Bezmezer"/>
        <w:numPr>
          <w:ilvl w:val="0"/>
          <w:numId w:val="29"/>
        </w:numPr>
        <w:spacing w:after="100" w:line="264" w:lineRule="auto"/>
      </w:pPr>
      <w:r w:rsidRPr="00C72802">
        <w:t xml:space="preserve">Krytí výztuže a rozteče vložek výztuže - </w:t>
      </w:r>
      <w:r w:rsidRPr="00C72802">
        <w:sym w:font="Symbol" w:char="F0B1"/>
      </w:r>
      <w:r w:rsidRPr="00C72802">
        <w:t xml:space="preserve"> </w:t>
      </w:r>
      <w:smartTag w:uri="urn:schemas-microsoft-com:office:smarttags" w:element="metricconverter">
        <w:smartTagPr>
          <w:attr w:name="ProductID" w:val="2,5 mm"/>
        </w:smartTagPr>
        <w:r w:rsidRPr="00C72802">
          <w:t>2,5 mm</w:t>
        </w:r>
      </w:smartTag>
      <w:r w:rsidRPr="00C72802">
        <w:t>.</w:t>
      </w:r>
    </w:p>
    <w:p w:rsidR="00BF4245" w:rsidRPr="00C72802" w:rsidRDefault="00BF4245" w:rsidP="00BF4245">
      <w:pPr>
        <w:pStyle w:val="Bezmezer"/>
        <w:numPr>
          <w:ilvl w:val="0"/>
          <w:numId w:val="29"/>
        </w:numPr>
        <w:spacing w:after="100" w:line="264" w:lineRule="auto"/>
      </w:pPr>
      <w:r w:rsidRPr="00C72802">
        <w:t xml:space="preserve">Tloušťka stěnových a deskových prvků - </w:t>
      </w:r>
      <w:r w:rsidRPr="00C72802">
        <w:sym w:font="Symbol" w:char="F0B1"/>
      </w:r>
      <w:r w:rsidRPr="00C72802">
        <w:t xml:space="preserve"> </w:t>
      </w:r>
      <w:smartTag w:uri="urn:schemas-microsoft-com:office:smarttags" w:element="metricconverter">
        <w:smartTagPr>
          <w:attr w:name="ProductID" w:val="6 mm"/>
        </w:smartTagPr>
        <w:r w:rsidRPr="00C72802">
          <w:t>6 mm</w:t>
        </w:r>
      </w:smartTag>
      <w:r w:rsidRPr="00C72802">
        <w:t>.</w:t>
      </w:r>
    </w:p>
    <w:p w:rsidR="00BF4245" w:rsidRPr="00C72802" w:rsidRDefault="00BF4245" w:rsidP="00BF4245">
      <w:pPr>
        <w:pStyle w:val="Bezmezer"/>
        <w:numPr>
          <w:ilvl w:val="0"/>
          <w:numId w:val="29"/>
        </w:numPr>
        <w:spacing w:after="100" w:line="264" w:lineRule="auto"/>
      </w:pPr>
      <w:r w:rsidRPr="00C72802">
        <w:t xml:space="preserve">Průřez sloupových prvků - </w:t>
      </w:r>
      <w:r w:rsidRPr="00C72802">
        <w:sym w:font="Symbol" w:char="F0B1"/>
      </w:r>
      <w:r w:rsidRPr="00C72802">
        <w:t xml:space="preserve"> </w:t>
      </w:r>
      <w:smartTag w:uri="urn:schemas-microsoft-com:office:smarttags" w:element="metricconverter">
        <w:smartTagPr>
          <w:attr w:name="ProductID" w:val="5 mm"/>
        </w:smartTagPr>
        <w:r w:rsidRPr="00C72802">
          <w:t>5 mm</w:t>
        </w:r>
      </w:smartTag>
      <w:r w:rsidRPr="00C72802">
        <w:t>.</w:t>
      </w:r>
    </w:p>
    <w:p w:rsidR="00BF4245" w:rsidRPr="00C72802" w:rsidRDefault="00BF4245" w:rsidP="00BF4245">
      <w:pPr>
        <w:pStyle w:val="Bezmezer"/>
        <w:numPr>
          <w:ilvl w:val="0"/>
          <w:numId w:val="29"/>
        </w:numPr>
        <w:spacing w:after="100" w:line="264" w:lineRule="auto"/>
      </w:pPr>
      <w:r w:rsidRPr="00C72802">
        <w:t xml:space="preserve">Svislé odchylky stěnových a sloupových prvků do světlé výšky </w:t>
      </w:r>
      <w:smartTag w:uri="urn:schemas-microsoft-com:office:smarttags" w:element="metricconverter">
        <w:smartTagPr>
          <w:attr w:name="ProductID" w:val="4 m"/>
        </w:smartTagPr>
        <w:r w:rsidRPr="00C72802">
          <w:t>4 m</w:t>
        </w:r>
      </w:smartTag>
      <w:r w:rsidRPr="00C72802">
        <w:t xml:space="preserve"> - </w:t>
      </w:r>
      <w:r w:rsidRPr="00C72802">
        <w:sym w:font="Symbol" w:char="F0B1"/>
      </w:r>
      <w:r w:rsidRPr="00C72802">
        <w:t xml:space="preserve"> </w:t>
      </w:r>
      <w:smartTag w:uri="urn:schemas-microsoft-com:office:smarttags" w:element="metricconverter">
        <w:smartTagPr>
          <w:attr w:name="ProductID" w:val="10 mm"/>
        </w:smartTagPr>
        <w:r w:rsidRPr="00C72802">
          <w:t>10 mm</w:t>
        </w:r>
      </w:smartTag>
      <w:r w:rsidRPr="00C72802">
        <w:t>.</w:t>
      </w:r>
    </w:p>
    <w:p w:rsidR="00BF4245" w:rsidRPr="00C72802" w:rsidRDefault="00BF4245" w:rsidP="00BF4245">
      <w:pPr>
        <w:pStyle w:val="Bezmezer"/>
        <w:numPr>
          <w:ilvl w:val="0"/>
          <w:numId w:val="29"/>
        </w:numPr>
        <w:spacing w:after="100" w:line="264" w:lineRule="auto"/>
      </w:pPr>
      <w:r w:rsidRPr="00C72802">
        <w:t xml:space="preserve">Poloha prvků (stěn, desek, sloupů, otvorů, apod.) -  </w:t>
      </w:r>
      <w:r w:rsidRPr="00C72802">
        <w:sym w:font="Symbol" w:char="F0B1"/>
      </w:r>
      <w:r w:rsidRPr="00C72802">
        <w:t xml:space="preserve"> </w:t>
      </w:r>
      <w:smartTag w:uri="urn:schemas-microsoft-com:office:smarttags" w:element="metricconverter">
        <w:smartTagPr>
          <w:attr w:name="ProductID" w:val="5 mm"/>
        </w:smartTagPr>
        <w:r w:rsidRPr="00C72802">
          <w:t>5 mm</w:t>
        </w:r>
      </w:smartTag>
      <w:r w:rsidRPr="00C72802">
        <w:t>.</w:t>
      </w:r>
    </w:p>
    <w:p w:rsidR="00BF4245" w:rsidRPr="00C72802" w:rsidRDefault="00BF4245" w:rsidP="00BF4245">
      <w:pPr>
        <w:pStyle w:val="Bezmezer"/>
        <w:numPr>
          <w:ilvl w:val="0"/>
          <w:numId w:val="29"/>
        </w:numPr>
        <w:spacing w:after="100" w:line="264" w:lineRule="auto"/>
      </w:pPr>
      <w:r w:rsidRPr="00C72802">
        <w:t>Rovnost povrchu – vodorovné konstrukce - ±</w:t>
      </w:r>
      <w:smartTag w:uri="urn:schemas-microsoft-com:office:smarttags" w:element="metricconverter">
        <w:smartTagPr>
          <w:attr w:name="ProductID" w:val="5 mm"/>
        </w:smartTagPr>
        <w:r w:rsidRPr="00C72802">
          <w:t>5 mm</w:t>
        </w:r>
      </w:smartTag>
      <w:r w:rsidRPr="00C72802">
        <w:t xml:space="preserve"> na lati 2m</w:t>
      </w:r>
    </w:p>
    <w:p w:rsidR="00BF4245" w:rsidRPr="00C72802" w:rsidRDefault="00BF4245" w:rsidP="00BF4245">
      <w:pPr>
        <w:pStyle w:val="Bezmezer"/>
        <w:numPr>
          <w:ilvl w:val="0"/>
          <w:numId w:val="29"/>
        </w:numPr>
        <w:spacing w:after="100" w:line="264" w:lineRule="auto"/>
      </w:pPr>
      <w:r w:rsidRPr="00C72802">
        <w:t>Rovnost povrchu – vodorovné konstrukce - ±</w:t>
      </w:r>
      <w:smartTag w:uri="urn:schemas-microsoft-com:office:smarttags" w:element="metricconverter">
        <w:smartTagPr>
          <w:attr w:name="ProductID" w:val="12 mm"/>
        </w:smartTagPr>
        <w:r w:rsidRPr="00C72802">
          <w:t>12 mm</w:t>
        </w:r>
      </w:smartTag>
      <w:r w:rsidRPr="00C72802">
        <w:t xml:space="preserve"> v celé ploše.</w:t>
      </w:r>
    </w:p>
    <w:p w:rsidR="00BF4245" w:rsidRPr="00C72802" w:rsidRDefault="00BF4245" w:rsidP="00BF4245">
      <w:pPr>
        <w:pStyle w:val="Bezmezer"/>
        <w:numPr>
          <w:ilvl w:val="0"/>
          <w:numId w:val="29"/>
        </w:numPr>
        <w:spacing w:after="100" w:line="264" w:lineRule="auto"/>
      </w:pPr>
      <w:r w:rsidRPr="00C72802">
        <w:t>Rovnost povrchu – svislé konstrukce - ±</w:t>
      </w:r>
      <w:smartTag w:uri="urn:schemas-microsoft-com:office:smarttags" w:element="metricconverter">
        <w:smartTagPr>
          <w:attr w:name="ProductID" w:val="2 mm"/>
        </w:smartTagPr>
        <w:r w:rsidRPr="00C72802">
          <w:t>2 mm</w:t>
        </w:r>
      </w:smartTag>
      <w:r w:rsidRPr="00C72802">
        <w:t xml:space="preserve"> na lati </w:t>
      </w:r>
      <w:smartTag w:uri="urn:schemas-microsoft-com:office:smarttags" w:element="metricconverter">
        <w:smartTagPr>
          <w:attr w:name="ProductID" w:val="4 m"/>
        </w:smartTagPr>
        <w:r w:rsidRPr="00C72802">
          <w:t>4 m</w:t>
        </w:r>
      </w:smartTag>
      <w:r w:rsidRPr="00C72802">
        <w:t>.</w:t>
      </w:r>
    </w:p>
    <w:p w:rsidR="00BF4245" w:rsidRPr="00C72802" w:rsidRDefault="00BF4245" w:rsidP="00BF4245">
      <w:pPr>
        <w:pStyle w:val="Bezmezer"/>
        <w:numPr>
          <w:ilvl w:val="0"/>
          <w:numId w:val="29"/>
        </w:numPr>
        <w:spacing w:after="100" w:line="264" w:lineRule="auto"/>
      </w:pPr>
      <w:r w:rsidRPr="00C72802">
        <w:t xml:space="preserve">Velikost otvorů -  +12, </w:t>
      </w:r>
      <w:smartTag w:uri="urn:schemas-microsoft-com:office:smarttags" w:element="metricconverter">
        <w:smartTagPr>
          <w:attr w:name="ProductID" w:val="-0 mm"/>
        </w:smartTagPr>
        <w:r w:rsidRPr="00C72802">
          <w:t>-0 mm</w:t>
        </w:r>
      </w:smartTag>
      <w:r w:rsidRPr="00C72802">
        <w:t>.</w:t>
      </w:r>
    </w:p>
    <w:p w:rsidR="00BF4245" w:rsidRPr="00C72802" w:rsidRDefault="00BF4245" w:rsidP="00BF4245">
      <w:pPr>
        <w:pStyle w:val="Bezmezer"/>
        <w:numPr>
          <w:ilvl w:val="0"/>
          <w:numId w:val="29"/>
        </w:numPr>
        <w:spacing w:after="100" w:line="264" w:lineRule="auto"/>
      </w:pPr>
      <w:r w:rsidRPr="00C72802">
        <w:t xml:space="preserve">Výtahová šachta – svislost +20, </w:t>
      </w:r>
      <w:smartTag w:uri="urn:schemas-microsoft-com:office:smarttags" w:element="metricconverter">
        <w:smartTagPr>
          <w:attr w:name="ProductID" w:val="-0 mm"/>
        </w:smartTagPr>
        <w:r w:rsidRPr="00C72802">
          <w:t>-0 mm</w:t>
        </w:r>
      </w:smartTag>
      <w:r w:rsidRPr="00C72802">
        <w:t xml:space="preserve"> na celou výšku, +10, </w:t>
      </w:r>
      <w:smartTag w:uri="urn:schemas-microsoft-com:office:smarttags" w:element="metricconverter">
        <w:smartTagPr>
          <w:attr w:name="ProductID" w:val="-0 mm"/>
        </w:smartTagPr>
        <w:r w:rsidRPr="00C72802">
          <w:t>-0 mm</w:t>
        </w:r>
      </w:smartTag>
      <w:r w:rsidRPr="00C72802">
        <w:t xml:space="preserve"> velikost šachty nebo dle požadavků dodavatele výtahů</w:t>
      </w:r>
    </w:p>
    <w:p w:rsidR="00BF4245" w:rsidRDefault="00BF4245" w:rsidP="00BF4245">
      <w:pPr>
        <w:rPr>
          <w:snapToGrid w:val="0"/>
        </w:rPr>
      </w:pPr>
      <w:r w:rsidRPr="00C72802">
        <w:rPr>
          <w:snapToGrid w:val="0"/>
        </w:rPr>
        <w:t>GP obdrží výsledky měření kvality betonu a výztuže. Dodavatel ŽB konstrukcí dále zaměří svou pozornost především na kvalitu materiálu, způsob ukládání a hutnění, ochranu a ošetření čerstvých konstrukcí zvláště za extrémně nízkých a vysokých teplot, apod.</w:t>
      </w:r>
    </w:p>
    <w:p w:rsidR="006841E0" w:rsidRDefault="006841E0" w:rsidP="00482DC9">
      <w:pPr>
        <w:pStyle w:val="Nadpis1"/>
        <w:numPr>
          <w:ilvl w:val="0"/>
          <w:numId w:val="1"/>
        </w:numPr>
        <w:tabs>
          <w:tab w:val="clear" w:pos="432"/>
          <w:tab w:val="clear" w:pos="567"/>
          <w:tab w:val="num" w:pos="709"/>
        </w:tabs>
        <w:spacing w:before="360"/>
        <w:ind w:left="567" w:hanging="567"/>
      </w:pPr>
      <w:bookmarkStart w:id="27" w:name="_Toc147739207"/>
      <w:r w:rsidRPr="005656DF">
        <w:t>požadavky na další stupně PD, průzkumy</w:t>
      </w:r>
      <w:bookmarkEnd w:id="27"/>
    </w:p>
    <w:p w:rsidR="00BF2E69" w:rsidRPr="005656DF" w:rsidRDefault="00BF2E69" w:rsidP="00BF2E69">
      <w:pPr>
        <w:pStyle w:val="Nadpis2"/>
        <w:numPr>
          <w:ilvl w:val="1"/>
          <w:numId w:val="1"/>
        </w:numPr>
        <w:tabs>
          <w:tab w:val="clear" w:pos="576"/>
          <w:tab w:val="num" w:pos="851"/>
        </w:tabs>
        <w:spacing w:after="60"/>
        <w:ind w:left="709" w:hanging="709"/>
      </w:pPr>
      <w:bookmarkStart w:id="28" w:name="_Toc147739208"/>
      <w:bookmarkStart w:id="29" w:name="_Hlk110852943"/>
      <w:r>
        <w:t>Další stupeň PD</w:t>
      </w:r>
      <w:bookmarkEnd w:id="28"/>
    </w:p>
    <w:p w:rsidR="00BF2E69" w:rsidRDefault="00BF2E69" w:rsidP="00BF2E69">
      <w:r>
        <w:t>Další stupně projektové dokumentace, jejich forma a obsah, budou provedeny podle zásad prováděcí vyhlášky č. 499/2006 Sb. v aktuálním znění</w:t>
      </w:r>
    </w:p>
    <w:p w:rsidR="00BF2E69" w:rsidRPr="00B252D4" w:rsidRDefault="00BF2E69" w:rsidP="00BF2E69">
      <w:pPr>
        <w:pStyle w:val="Nadpis2"/>
      </w:pPr>
      <w:bookmarkStart w:id="30" w:name="_Toc97216445"/>
      <w:bookmarkStart w:id="31" w:name="_Toc147739209"/>
      <w:r w:rsidRPr="00B252D4">
        <w:t>Na kontrolu provádění</w:t>
      </w:r>
      <w:bookmarkEnd w:id="30"/>
      <w:bookmarkEnd w:id="31"/>
    </w:p>
    <w:p w:rsidR="00BF2E69" w:rsidRPr="00B252D4" w:rsidRDefault="00BF2E69" w:rsidP="00BF2E69">
      <w:r w:rsidRPr="00B252D4">
        <w:t>Během výstavby budou předány ke kontrole tyto podstatné nosné prvky před jejich zakrytím:</w:t>
      </w:r>
    </w:p>
    <w:p w:rsidR="00BF2E69" w:rsidRDefault="00BF2E69" w:rsidP="00BF2E69">
      <w:pPr>
        <w:pStyle w:val="Odstavecseseznamem"/>
        <w:numPr>
          <w:ilvl w:val="0"/>
          <w:numId w:val="22"/>
        </w:numPr>
        <w:spacing w:after="0" w:line="340" w:lineRule="exact"/>
        <w:ind w:left="426"/>
      </w:pPr>
      <w:r w:rsidRPr="00B252D4">
        <w:t>základová spára, základy</w:t>
      </w:r>
    </w:p>
    <w:p w:rsidR="00BF2E69" w:rsidRPr="00B252D4" w:rsidRDefault="00BF2E69" w:rsidP="00BF2E69">
      <w:pPr>
        <w:pStyle w:val="Odstavecseseznamem"/>
        <w:numPr>
          <w:ilvl w:val="0"/>
          <w:numId w:val="22"/>
        </w:numPr>
        <w:spacing w:after="0" w:line="340" w:lineRule="exact"/>
        <w:ind w:left="426"/>
      </w:pPr>
      <w:r w:rsidRPr="00B252D4">
        <w:t>výztuže všech betonových konstrukcí před betonáží</w:t>
      </w:r>
    </w:p>
    <w:p w:rsidR="00BF2E69" w:rsidRPr="00B252D4" w:rsidRDefault="00BF2E69" w:rsidP="00BF2E69">
      <w:pPr>
        <w:pStyle w:val="Odstavecseseznamem"/>
        <w:numPr>
          <w:ilvl w:val="0"/>
          <w:numId w:val="22"/>
        </w:numPr>
        <w:spacing w:after="0" w:line="340" w:lineRule="exact"/>
        <w:ind w:left="426"/>
      </w:pPr>
      <w:r w:rsidRPr="00B252D4">
        <w:t>pracovní spáry v monolitických konstrukcích</w:t>
      </w:r>
    </w:p>
    <w:p w:rsidR="00BF2E69" w:rsidRDefault="00BF2E69" w:rsidP="00BF2E69">
      <w:pPr>
        <w:pStyle w:val="Odstavecseseznamem"/>
        <w:numPr>
          <w:ilvl w:val="0"/>
          <w:numId w:val="22"/>
        </w:numPr>
        <w:spacing w:after="0" w:line="340" w:lineRule="exact"/>
        <w:ind w:left="426"/>
      </w:pPr>
      <w:r w:rsidRPr="00B252D4">
        <w:t>osazení systémových překladů ve zdivu</w:t>
      </w:r>
    </w:p>
    <w:p w:rsidR="003E7006" w:rsidRPr="00B252D4" w:rsidRDefault="003E7006" w:rsidP="00BF2E69">
      <w:pPr>
        <w:pStyle w:val="Odstavecseseznamem"/>
        <w:numPr>
          <w:ilvl w:val="0"/>
          <w:numId w:val="22"/>
        </w:numPr>
        <w:spacing w:after="0" w:line="340" w:lineRule="exact"/>
        <w:ind w:left="426"/>
      </w:pPr>
      <w:r w:rsidRPr="00E63684">
        <w:t xml:space="preserve">detaily </w:t>
      </w:r>
      <w:r>
        <w:t>kotvení dřevěných konstrukcí</w:t>
      </w:r>
      <w:r w:rsidR="00534E45">
        <w:t>, styčníkové spoje</w:t>
      </w:r>
    </w:p>
    <w:p w:rsidR="00BF2E69" w:rsidRDefault="00BF2E69" w:rsidP="00BF2E69"/>
    <w:p w:rsidR="003E7006" w:rsidRPr="00E63684" w:rsidRDefault="003E7006" w:rsidP="003E7006">
      <w:r w:rsidRPr="00E63684">
        <w:t>Kontrolu, resp. přebírku musí provádět odborně způsobilá osoba, pověřená investorem, nebo dodavatelem. O přebírkách budou provedeny zápisy, protokoly.</w:t>
      </w:r>
    </w:p>
    <w:p w:rsidR="003E7006" w:rsidRPr="00B252D4" w:rsidRDefault="003E7006" w:rsidP="003E7006">
      <w:r w:rsidRPr="00E63684">
        <w:t>Organizace průběžné kontroly provádění je v kompetenci investora. Předpokláda</w:t>
      </w:r>
      <w:r>
        <w:t>jí se pravidelné kontrolní dny.</w:t>
      </w:r>
    </w:p>
    <w:p w:rsidR="00BF2E69" w:rsidRPr="00B252D4" w:rsidRDefault="00BF2E69" w:rsidP="00BF2E69">
      <w:pPr>
        <w:pStyle w:val="Nadpis2"/>
      </w:pPr>
      <w:bookmarkStart w:id="32" w:name="_Toc97216446"/>
      <w:bookmarkStart w:id="33" w:name="_Toc147739210"/>
      <w:r w:rsidRPr="00B252D4">
        <w:t>Na PD zpracovanou zhotovitelem</w:t>
      </w:r>
      <w:bookmarkEnd w:id="32"/>
      <w:bookmarkEnd w:id="33"/>
    </w:p>
    <w:p w:rsidR="00BF2E69" w:rsidRPr="002C19BE" w:rsidRDefault="00BF2E69" w:rsidP="00BF2E69">
      <w:pPr>
        <w:pStyle w:val="Nadpis4"/>
      </w:pPr>
      <w:r w:rsidRPr="002C19BE">
        <w:t>Dílenská dodavatelská dokumentace</w:t>
      </w:r>
    </w:p>
    <w:p w:rsidR="00BF2E69" w:rsidRPr="00B252D4" w:rsidRDefault="00BF2E69" w:rsidP="00BF2E69">
      <w:r w:rsidRPr="002C19BE">
        <w:t>V rámci dodávky stavby zhotovitel zajistí:</w:t>
      </w:r>
    </w:p>
    <w:p w:rsidR="00BF2E69" w:rsidRPr="00B252D4" w:rsidRDefault="00BF2E69" w:rsidP="00BF2E69">
      <w:pPr>
        <w:numPr>
          <w:ilvl w:val="0"/>
          <w:numId w:val="21"/>
        </w:numPr>
        <w:spacing w:after="0" w:line="340" w:lineRule="exact"/>
      </w:pPr>
      <w:r w:rsidRPr="00B252D4">
        <w:lastRenderedPageBreak/>
        <w:t>pozice a detaily pracovních a dilatačních spár v železobetonových konstrukcích + detaily</w:t>
      </w:r>
    </w:p>
    <w:p w:rsidR="00BF2E69" w:rsidRPr="00B252D4" w:rsidRDefault="00BF2E69" w:rsidP="00BF2E69">
      <w:pPr>
        <w:numPr>
          <w:ilvl w:val="0"/>
          <w:numId w:val="21"/>
        </w:numPr>
        <w:spacing w:after="0" w:line="340" w:lineRule="exact"/>
      </w:pPr>
      <w:r w:rsidRPr="00B252D4">
        <w:t>technologický postup bednění, ukládání výztuže, betonáže, odbedňování a ošetřování betonu</w:t>
      </w:r>
    </w:p>
    <w:p w:rsidR="00BF2E69" w:rsidRPr="00B252D4" w:rsidRDefault="00BF2E69" w:rsidP="00BF2E69">
      <w:pPr>
        <w:numPr>
          <w:ilvl w:val="0"/>
          <w:numId w:val="21"/>
        </w:numPr>
        <w:spacing w:after="0" w:line="340" w:lineRule="exact"/>
      </w:pPr>
      <w:r w:rsidRPr="00B252D4">
        <w:t>kontrola návrhu systémových překladů</w:t>
      </w:r>
    </w:p>
    <w:p w:rsidR="00BF2E69" w:rsidRPr="00B252D4" w:rsidRDefault="00BF2E69" w:rsidP="00BF2E69">
      <w:pPr>
        <w:numPr>
          <w:ilvl w:val="0"/>
          <w:numId w:val="21"/>
        </w:numPr>
        <w:spacing w:after="0" w:line="340" w:lineRule="exact"/>
      </w:pPr>
      <w:r w:rsidRPr="00B252D4">
        <w:t xml:space="preserve">dílenskou dodavatelskou dokumentaci </w:t>
      </w:r>
      <w:r w:rsidR="00534E45">
        <w:t>dřevěných</w:t>
      </w:r>
      <w:r w:rsidRPr="00B252D4">
        <w:t xml:space="preserve"> konstrukcí</w:t>
      </w:r>
    </w:p>
    <w:p w:rsidR="00BF2E69" w:rsidRDefault="00BF2E69" w:rsidP="00BF2E69">
      <w:r w:rsidRPr="00B252D4">
        <w:t>V této části PD dodavatel zohlední své technologické možnosti a možnosti svých subdodavatelů. Tato dokumentace bude předložena GP ke schválení.</w:t>
      </w:r>
    </w:p>
    <w:p w:rsidR="00BF2E69" w:rsidRPr="00B252D4" w:rsidRDefault="00BF2E69" w:rsidP="00BF2E69">
      <w:pPr>
        <w:pStyle w:val="Nadpis2"/>
        <w:spacing w:after="60"/>
      </w:pPr>
      <w:bookmarkStart w:id="34" w:name="_Toc483412191"/>
      <w:bookmarkStart w:id="35" w:name="_Toc97216447"/>
      <w:bookmarkStart w:id="36" w:name="_Toc147739211"/>
      <w:r w:rsidRPr="00B252D4">
        <w:t>Na doplnění průzkumů</w:t>
      </w:r>
      <w:bookmarkEnd w:id="34"/>
      <w:bookmarkEnd w:id="35"/>
      <w:bookmarkEnd w:id="36"/>
    </w:p>
    <w:p w:rsidR="00BF2E69" w:rsidRPr="00B252D4" w:rsidRDefault="00BF2E69" w:rsidP="00BF2E69">
      <w:pPr>
        <w:pStyle w:val="Odstavecseseznamem"/>
        <w:numPr>
          <w:ilvl w:val="0"/>
          <w:numId w:val="23"/>
        </w:numPr>
      </w:pPr>
      <w:r w:rsidRPr="00B252D4">
        <w:t xml:space="preserve">V této fázi projektu </w:t>
      </w:r>
      <w:r w:rsidR="00534E45">
        <w:t>není potřeba dalších průzkumů v místě stavby.</w:t>
      </w:r>
      <w:r w:rsidRPr="00B252D4">
        <w:t xml:space="preserve"> </w:t>
      </w:r>
    </w:p>
    <w:p w:rsidR="00482DC9" w:rsidRPr="001B2D0D" w:rsidRDefault="00482DC9" w:rsidP="00482DC9">
      <w:pPr>
        <w:pStyle w:val="Nadpis2"/>
        <w:numPr>
          <w:ilvl w:val="1"/>
          <w:numId w:val="1"/>
        </w:numPr>
        <w:tabs>
          <w:tab w:val="clear" w:pos="576"/>
          <w:tab w:val="num" w:pos="851"/>
        </w:tabs>
        <w:spacing w:after="60"/>
        <w:ind w:left="709" w:hanging="709"/>
      </w:pPr>
      <w:bookmarkStart w:id="37" w:name="_Toc520469939"/>
      <w:bookmarkStart w:id="38" w:name="_Toc10725171"/>
      <w:bookmarkStart w:id="39" w:name="_Toc147739212"/>
      <w:r w:rsidRPr="001B2D0D">
        <w:t>Požadavky na protipožární ochranu</w:t>
      </w:r>
      <w:bookmarkEnd w:id="37"/>
      <w:bookmarkEnd w:id="38"/>
      <w:bookmarkEnd w:id="39"/>
    </w:p>
    <w:p w:rsidR="00482DC9" w:rsidRDefault="00482DC9" w:rsidP="00482DC9">
      <w:r w:rsidRPr="001B2D0D">
        <w:t>Detaily a nároky na ochranu předepisuje samostatná požární zpráva, samostatná část projektu PBŘ.</w:t>
      </w:r>
    </w:p>
    <w:p w:rsidR="00482DC9" w:rsidRPr="001B2D0D" w:rsidRDefault="00482DC9" w:rsidP="00EC6EAB">
      <w:pPr>
        <w:pStyle w:val="Nadpis1"/>
        <w:numPr>
          <w:ilvl w:val="0"/>
          <w:numId w:val="1"/>
        </w:numPr>
        <w:tabs>
          <w:tab w:val="clear" w:pos="432"/>
          <w:tab w:val="clear" w:pos="567"/>
          <w:tab w:val="num" w:pos="709"/>
        </w:tabs>
        <w:spacing w:before="360"/>
        <w:ind w:left="567" w:hanging="567"/>
      </w:pPr>
      <w:bookmarkStart w:id="40" w:name="_Toc64236844"/>
      <w:bookmarkStart w:id="41" w:name="_Toc147739213"/>
      <w:bookmarkEnd w:id="29"/>
      <w:r w:rsidRPr="001B2D0D">
        <w:t>Návrhová životnost</w:t>
      </w:r>
      <w:bookmarkEnd w:id="40"/>
      <w:bookmarkEnd w:id="41"/>
    </w:p>
    <w:p w:rsidR="001E6E3A" w:rsidRPr="001B2D0D" w:rsidRDefault="001E6E3A" w:rsidP="001E6E3A">
      <w:r w:rsidRPr="001B2D0D">
        <w:t>Návrhová životnost je předpokládaná doba, po kterou má být konstrukce nebo její část používána pro stanovený účel při běžné údržbě, avšak bez nutnosti zásadnější opravy.</w:t>
      </w:r>
    </w:p>
    <w:p w:rsidR="001E6E3A" w:rsidRPr="001B2D0D" w:rsidRDefault="00534E45" w:rsidP="001E6E3A">
      <w:r>
        <w:t>V České r</w:t>
      </w:r>
      <w:r w:rsidR="001E6E3A" w:rsidRPr="001B2D0D">
        <w:t xml:space="preserve">epublice je dle ČSN EN 1990-1 Zásady navrhování konstrukcí, Národní přílohy NA.2.1 hodnota návrhové životnosti budov </w:t>
      </w:r>
      <w:r w:rsidR="001E6E3A">
        <w:t>5</w:t>
      </w:r>
      <w:r w:rsidR="001E6E3A" w:rsidRPr="001B2D0D">
        <w:t>0 let.</w:t>
      </w:r>
    </w:p>
    <w:p w:rsidR="001E6E3A" w:rsidRDefault="001E6E3A" w:rsidP="001E6E3A">
      <w:pPr>
        <w:jc w:val="center"/>
      </w:pPr>
      <w:r>
        <w:rPr>
          <w:noProof/>
          <w:lang w:eastAsia="cs-CZ"/>
        </w:rPr>
        <w:drawing>
          <wp:inline distT="0" distB="0" distL="0" distR="0">
            <wp:extent cx="5759450" cy="180975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1" cstate="print"/>
                    <a:stretch>
                      <a:fillRect/>
                    </a:stretch>
                  </pic:blipFill>
                  <pic:spPr>
                    <a:xfrm>
                      <a:off x="0" y="0"/>
                      <a:ext cx="5759450" cy="1809750"/>
                    </a:xfrm>
                    <a:prstGeom prst="rect">
                      <a:avLst/>
                    </a:prstGeom>
                  </pic:spPr>
                </pic:pic>
              </a:graphicData>
            </a:graphic>
          </wp:inline>
        </w:drawing>
      </w:r>
    </w:p>
    <w:p w:rsidR="0015504D" w:rsidRDefault="0015504D">
      <w:pPr>
        <w:spacing w:after="200" w:line="276" w:lineRule="auto"/>
        <w:jc w:val="left"/>
      </w:pPr>
      <w:r>
        <w:br w:type="page"/>
      </w:r>
    </w:p>
    <w:p w:rsidR="00482DC9" w:rsidRPr="00DD4B62" w:rsidRDefault="00482DC9" w:rsidP="00EC6EAB">
      <w:pPr>
        <w:pStyle w:val="Nadpis1"/>
        <w:tabs>
          <w:tab w:val="clear" w:pos="432"/>
          <w:tab w:val="clear" w:pos="567"/>
          <w:tab w:val="num" w:pos="709"/>
        </w:tabs>
        <w:spacing w:before="240" w:after="0" w:line="360" w:lineRule="auto"/>
        <w:ind w:left="567" w:hanging="567"/>
      </w:pPr>
      <w:bookmarkStart w:id="42" w:name="_Toc147739214"/>
      <w:r w:rsidRPr="00DD4B62">
        <w:lastRenderedPageBreak/>
        <w:t>podklady</w:t>
      </w:r>
      <w:bookmarkEnd w:id="42"/>
    </w:p>
    <w:p w:rsidR="00482DC9" w:rsidRPr="00406673" w:rsidRDefault="00482DC9" w:rsidP="00482DC9">
      <w:pPr>
        <w:pStyle w:val="Odstavecseseznamem"/>
        <w:numPr>
          <w:ilvl w:val="0"/>
          <w:numId w:val="4"/>
        </w:numPr>
        <w:rPr>
          <w:rFonts w:cstheme="minorHAnsi"/>
        </w:rPr>
      </w:pPr>
      <w:r w:rsidRPr="00FE6EA0">
        <w:rPr>
          <w:rFonts w:cstheme="minorHAnsi"/>
        </w:rPr>
        <w:t>Rozpracovaná stavební část projektové dokumentace „</w:t>
      </w:r>
      <w:r w:rsidR="00EE7ECF">
        <w:rPr>
          <w:rFonts w:cstheme="minorHAnsi"/>
        </w:rPr>
        <w:t>stavební CHBNP</w:t>
      </w:r>
      <w:r>
        <w:rPr>
          <w:rFonts w:cstheme="minorHAnsi"/>
        </w:rPr>
        <w:t>“,</w:t>
      </w:r>
      <w:r w:rsidRPr="00106F5E">
        <w:rPr>
          <w:rFonts w:cs="Calibri"/>
        </w:rPr>
        <w:t xml:space="preserve"> </w:t>
      </w:r>
    </w:p>
    <w:p w:rsidR="00FA7A27" w:rsidRPr="00FA7A27" w:rsidRDefault="00EE7ECF" w:rsidP="00FA7A27">
      <w:pPr>
        <w:pStyle w:val="Odstavecseseznamem"/>
        <w:rPr>
          <w:rFonts w:cstheme="minorHAnsi"/>
        </w:rPr>
      </w:pPr>
      <w:r>
        <w:rPr>
          <w:rFonts w:cstheme="minorHAnsi"/>
        </w:rPr>
        <w:t>Růžička a partneři</w:t>
      </w:r>
      <w:r w:rsidR="00482DC9" w:rsidRPr="00106F5E">
        <w:rPr>
          <w:rFonts w:cstheme="minorHAnsi"/>
        </w:rPr>
        <w:t xml:space="preserve"> s.r.o.,</w:t>
      </w:r>
      <w:r w:rsidR="00482DC9" w:rsidRPr="00FE6EA0">
        <w:rPr>
          <w:rFonts w:cstheme="minorHAnsi"/>
        </w:rPr>
        <w:t xml:space="preserve"> </w:t>
      </w:r>
      <w:r w:rsidR="00FD3993">
        <w:rPr>
          <w:rFonts w:cstheme="minorHAnsi"/>
        </w:rPr>
        <w:t>Září 2023</w:t>
      </w:r>
    </w:p>
    <w:p w:rsidR="00482DC9" w:rsidRPr="00FA7A27" w:rsidRDefault="002E7BCF" w:rsidP="00482DC9">
      <w:pPr>
        <w:pStyle w:val="Odstavecseseznamem"/>
        <w:numPr>
          <w:ilvl w:val="0"/>
          <w:numId w:val="4"/>
        </w:numPr>
        <w:spacing w:after="0"/>
        <w:rPr>
          <w:snapToGrid w:val="0"/>
        </w:rPr>
      </w:pPr>
      <w:hyperlink r:id="rId12" w:history="1">
        <w:r w:rsidR="00482DC9" w:rsidRPr="00DD4B62">
          <w:rPr>
            <w:rStyle w:val="Hypertextovodkaz"/>
            <w:snapToGrid w:val="0"/>
          </w:rPr>
          <w:t>www.snehovamapa.cz</w:t>
        </w:r>
      </w:hyperlink>
    </w:p>
    <w:p w:rsidR="00FA7A27" w:rsidRPr="00DD4B62" w:rsidRDefault="00FA7A27" w:rsidP="00482DC9">
      <w:pPr>
        <w:pStyle w:val="Odstavecseseznamem"/>
        <w:numPr>
          <w:ilvl w:val="0"/>
          <w:numId w:val="4"/>
        </w:numPr>
        <w:spacing w:after="0"/>
        <w:rPr>
          <w:snapToGrid w:val="0"/>
        </w:rPr>
      </w:pPr>
      <w:bookmarkStart w:id="43" w:name="_Ref113280202"/>
      <w:r>
        <w:rPr>
          <w:snapToGrid w:val="0"/>
        </w:rPr>
        <w:t>IG průzkum – ARGOGEOLOGIE s.r.o. (květen 2022)</w:t>
      </w:r>
      <w:bookmarkEnd w:id="43"/>
    </w:p>
    <w:p w:rsidR="00482DC9" w:rsidRPr="00DD4B62" w:rsidRDefault="00EE7ECF" w:rsidP="00482DC9">
      <w:pPr>
        <w:pStyle w:val="Odstavecseseznamem"/>
        <w:numPr>
          <w:ilvl w:val="0"/>
          <w:numId w:val="4"/>
        </w:numPr>
        <w:spacing w:after="0"/>
        <w:rPr>
          <w:snapToGrid w:val="0"/>
        </w:rPr>
      </w:pPr>
      <w:r>
        <w:rPr>
          <w:snapToGrid w:val="0"/>
        </w:rPr>
        <w:t xml:space="preserve">ČSN EN 1990 - </w:t>
      </w:r>
      <w:r w:rsidR="00482DC9" w:rsidRPr="00DD4B62">
        <w:rPr>
          <w:snapToGrid w:val="0"/>
        </w:rPr>
        <w:t>Zásady navrhování konstrukcí</w:t>
      </w:r>
    </w:p>
    <w:p w:rsidR="00482DC9" w:rsidRPr="00DD4B62" w:rsidRDefault="00EE7ECF" w:rsidP="00482DC9">
      <w:pPr>
        <w:pStyle w:val="Odstavecseseznamem"/>
        <w:numPr>
          <w:ilvl w:val="0"/>
          <w:numId w:val="4"/>
        </w:numPr>
        <w:spacing w:after="0"/>
        <w:rPr>
          <w:snapToGrid w:val="0"/>
        </w:rPr>
      </w:pPr>
      <w:r>
        <w:rPr>
          <w:snapToGrid w:val="0"/>
        </w:rPr>
        <w:t xml:space="preserve">ČSN EN 1991-1-1 - </w:t>
      </w:r>
      <w:r w:rsidR="00482DC9" w:rsidRPr="00DD4B62">
        <w:rPr>
          <w:snapToGrid w:val="0"/>
        </w:rPr>
        <w:t>Zatížení konstrukcí - Část 1-1: Obecná zatížení - Objemové tíhy, vlastní tíha a užitná zatížení pozemních staveb</w:t>
      </w:r>
    </w:p>
    <w:p w:rsidR="00482DC9" w:rsidRPr="00DD4B62" w:rsidRDefault="00EE7ECF" w:rsidP="00482DC9">
      <w:pPr>
        <w:pStyle w:val="Odstavecseseznamem"/>
        <w:numPr>
          <w:ilvl w:val="0"/>
          <w:numId w:val="4"/>
        </w:numPr>
        <w:spacing w:after="0"/>
        <w:rPr>
          <w:snapToGrid w:val="0"/>
        </w:rPr>
      </w:pPr>
      <w:r>
        <w:rPr>
          <w:snapToGrid w:val="0"/>
        </w:rPr>
        <w:t xml:space="preserve">ČSN EN 1991-1-3 - </w:t>
      </w:r>
      <w:r w:rsidR="00482DC9" w:rsidRPr="00DD4B62">
        <w:rPr>
          <w:snapToGrid w:val="0"/>
        </w:rPr>
        <w:t>Zatížení konstrukcí - Část 1-3: Obecná zatížení - Zatížení sněhem</w:t>
      </w:r>
    </w:p>
    <w:p w:rsidR="00482DC9" w:rsidRPr="00DD4B62" w:rsidRDefault="00EE7ECF" w:rsidP="00482DC9">
      <w:pPr>
        <w:pStyle w:val="Odstavecseseznamem"/>
        <w:numPr>
          <w:ilvl w:val="0"/>
          <w:numId w:val="4"/>
        </w:numPr>
        <w:spacing w:after="0"/>
        <w:rPr>
          <w:snapToGrid w:val="0"/>
        </w:rPr>
      </w:pPr>
      <w:r>
        <w:rPr>
          <w:snapToGrid w:val="0"/>
        </w:rPr>
        <w:t xml:space="preserve">ČSN EN 1991-1-4 - </w:t>
      </w:r>
      <w:r w:rsidR="00482DC9" w:rsidRPr="00DD4B62">
        <w:rPr>
          <w:snapToGrid w:val="0"/>
        </w:rPr>
        <w:t>Zatížení konstrukcí - Část 1-4: Obecná zatížení - Zatížení větrem</w:t>
      </w:r>
    </w:p>
    <w:p w:rsidR="00482DC9" w:rsidRPr="00DD4B62" w:rsidRDefault="00482DC9" w:rsidP="00482DC9">
      <w:pPr>
        <w:pStyle w:val="Odstavecseseznamem"/>
        <w:numPr>
          <w:ilvl w:val="0"/>
          <w:numId w:val="4"/>
        </w:numPr>
        <w:spacing w:after="0"/>
      </w:pPr>
      <w:r w:rsidRPr="00DD4B62">
        <w:t>ČSN EN 1992-1-1 - Navrhování betonových konstrukcí. Část 1.1: Obecná pravidla a pravidla pro pozemní stavby</w:t>
      </w:r>
    </w:p>
    <w:p w:rsidR="00482DC9" w:rsidRPr="00DD4B62" w:rsidRDefault="00482DC9" w:rsidP="00482DC9">
      <w:pPr>
        <w:pStyle w:val="Odstavecseseznamem"/>
        <w:numPr>
          <w:ilvl w:val="0"/>
          <w:numId w:val="4"/>
        </w:numPr>
        <w:spacing w:after="0"/>
      </w:pPr>
      <w:r w:rsidRPr="00DD4B62">
        <w:t>ČSN EN 1995-1-1 - Navrhování dřevěných konstrukcí. Část 1.1: Obecná pravidla a pravidla pro pozemní stavby</w:t>
      </w:r>
    </w:p>
    <w:p w:rsidR="00482DC9" w:rsidRDefault="00482DC9" w:rsidP="00482DC9">
      <w:pPr>
        <w:pStyle w:val="Odstavecseseznamem"/>
        <w:numPr>
          <w:ilvl w:val="0"/>
          <w:numId w:val="4"/>
        </w:numPr>
        <w:spacing w:after="0"/>
      </w:pPr>
      <w:r w:rsidRPr="00DD4B62">
        <w:t>ČSN EN 1996-1-1 - Navrhování zděných konstrukcí. Část 1.1: Obecná pravidla a pravidla pro pozemní stavby</w:t>
      </w:r>
    </w:p>
    <w:p w:rsidR="00482DC9" w:rsidRDefault="00482DC9" w:rsidP="00482DC9">
      <w:pPr>
        <w:numPr>
          <w:ilvl w:val="0"/>
          <w:numId w:val="4"/>
        </w:numPr>
        <w:tabs>
          <w:tab w:val="left" w:pos="426"/>
        </w:tabs>
        <w:spacing w:after="0" w:line="288" w:lineRule="auto"/>
        <w:jc w:val="left"/>
      </w:pPr>
      <w:r>
        <w:t>ČSN EN 1993-1-1 -</w:t>
      </w:r>
      <w:r w:rsidRPr="00267122">
        <w:t xml:space="preserve"> </w:t>
      </w:r>
      <w:r>
        <w:t xml:space="preserve">Navrhování ocelových konstrukcí. </w:t>
      </w:r>
      <w:r w:rsidRPr="00267122">
        <w:t>Část 1-1: Obecná pravidla a pravidla pro pozemní stavby</w:t>
      </w:r>
    </w:p>
    <w:p w:rsidR="00EC6EAB" w:rsidRDefault="00EC6EAB" w:rsidP="00482DC9"/>
    <w:p w:rsidR="00482DC9" w:rsidRPr="00DD4B62" w:rsidRDefault="00482DC9" w:rsidP="00482DC9">
      <w:r w:rsidRPr="00DD4B62">
        <w:t>K návrhu byl použit tento software:</w:t>
      </w:r>
    </w:p>
    <w:p w:rsidR="00482DC9" w:rsidRPr="00DD4B62" w:rsidRDefault="00482DC9" w:rsidP="00482DC9">
      <w:pPr>
        <w:numPr>
          <w:ilvl w:val="0"/>
          <w:numId w:val="3"/>
        </w:numPr>
        <w:spacing w:after="0" w:line="360" w:lineRule="auto"/>
      </w:pPr>
      <w:r w:rsidRPr="00DD4B62">
        <w:t>Scia Engineer</w:t>
      </w:r>
    </w:p>
    <w:p w:rsidR="00482DC9" w:rsidRDefault="00482DC9" w:rsidP="00482DC9">
      <w:pPr>
        <w:numPr>
          <w:ilvl w:val="0"/>
          <w:numId w:val="3"/>
        </w:numPr>
        <w:spacing w:after="0" w:line="360" w:lineRule="auto"/>
        <w:rPr>
          <w:rFonts w:cstheme="minorHAnsi"/>
        </w:rPr>
      </w:pPr>
      <w:r w:rsidRPr="00DD4B62">
        <w:rPr>
          <w:rFonts w:cstheme="minorHAnsi"/>
        </w:rPr>
        <w:t>Microsoft Excel</w:t>
      </w:r>
    </w:p>
    <w:p w:rsidR="00482DC9" w:rsidRDefault="00482DC9" w:rsidP="00482DC9">
      <w:pPr>
        <w:numPr>
          <w:ilvl w:val="0"/>
          <w:numId w:val="3"/>
        </w:numPr>
        <w:spacing w:after="0" w:line="360" w:lineRule="auto"/>
        <w:rPr>
          <w:rFonts w:cstheme="minorHAnsi"/>
        </w:rPr>
      </w:pPr>
      <w:r>
        <w:rPr>
          <w:rFonts w:cstheme="minorHAnsi"/>
        </w:rPr>
        <w:t>FIN EC 2018</w:t>
      </w:r>
    </w:p>
    <w:p w:rsidR="00482DC9" w:rsidRPr="001B2D0D" w:rsidRDefault="00482DC9" w:rsidP="00482DC9">
      <w:pPr>
        <w:pStyle w:val="Nadpis1"/>
        <w:numPr>
          <w:ilvl w:val="0"/>
          <w:numId w:val="1"/>
        </w:numPr>
        <w:tabs>
          <w:tab w:val="clear" w:pos="432"/>
          <w:tab w:val="clear" w:pos="567"/>
          <w:tab w:val="left" w:pos="709"/>
        </w:tabs>
        <w:spacing w:after="240"/>
        <w:ind w:left="567" w:hanging="567"/>
        <w:jc w:val="left"/>
      </w:pPr>
      <w:bookmarkStart w:id="44" w:name="_Toc520469946"/>
      <w:bookmarkStart w:id="45" w:name="_Toc10725172"/>
      <w:bookmarkStart w:id="46" w:name="_Toc147739215"/>
      <w:r w:rsidRPr="001B2D0D">
        <w:t>Závěr</w:t>
      </w:r>
      <w:bookmarkEnd w:id="44"/>
      <w:bookmarkEnd w:id="45"/>
      <w:bookmarkEnd w:id="46"/>
    </w:p>
    <w:p w:rsidR="00482DC9" w:rsidRPr="001B2D0D" w:rsidRDefault="00482DC9" w:rsidP="00482DC9">
      <w:pPr>
        <w:rPr>
          <w:rFonts w:cs="Arial"/>
          <w:lang w:bidi="cs-CZ"/>
        </w:rPr>
      </w:pPr>
      <w:r w:rsidRPr="001B2D0D">
        <w:rPr>
          <w:rFonts w:cs="Arial"/>
          <w:lang w:bidi="cs-CZ"/>
        </w:rPr>
        <w:t xml:space="preserve">Byla ověřena koncepce řešení a všechny nosné prvky objektu. Výpočtem bylo prokázáno, že navržená konstrukce a dimenze jednotlivých prvků jsou v souladu s jednotlivými ČSN. </w:t>
      </w:r>
    </w:p>
    <w:p w:rsidR="00482DC9" w:rsidRPr="001B2D0D" w:rsidRDefault="00482DC9" w:rsidP="00482DC9">
      <w:r w:rsidRPr="001B2D0D">
        <w:t>Přiložený statický výpočet prokazuje, že konstrukce je navržena tak, aby zatížení na ní působící v průběhu výstavby a v průběhu užívání objektu nemělo za následek:</w:t>
      </w:r>
    </w:p>
    <w:p w:rsidR="00482DC9" w:rsidRPr="001B2D0D" w:rsidRDefault="00482DC9" w:rsidP="00482DC9">
      <w:pPr>
        <w:pStyle w:val="Bezmezer"/>
        <w:numPr>
          <w:ilvl w:val="0"/>
          <w:numId w:val="20"/>
        </w:numPr>
      </w:pPr>
      <w:r w:rsidRPr="001B2D0D">
        <w:t>zřícení stavby nebo její části ztrátou stability konstrukce nebo její části,</w:t>
      </w:r>
    </w:p>
    <w:p w:rsidR="00482DC9" w:rsidRPr="001B2D0D" w:rsidRDefault="00482DC9" w:rsidP="00482DC9">
      <w:pPr>
        <w:pStyle w:val="Bezmezer"/>
        <w:numPr>
          <w:ilvl w:val="0"/>
          <w:numId w:val="20"/>
        </w:numPr>
      </w:pPr>
      <w:r w:rsidRPr="001B2D0D">
        <w:t>porušení jednotlivých prvků vyčerpáním jejich únosnosti, vyčerpáním únosnosti spojů,</w:t>
      </w:r>
    </w:p>
    <w:p w:rsidR="00482DC9" w:rsidRPr="001B2D0D" w:rsidRDefault="00482DC9" w:rsidP="00482DC9">
      <w:pPr>
        <w:pStyle w:val="Bezmezer"/>
        <w:numPr>
          <w:ilvl w:val="0"/>
          <w:numId w:val="20"/>
        </w:numPr>
      </w:pPr>
      <w:r w:rsidRPr="001B2D0D">
        <w:t>větší stupeň nepřípustného přetvoření - navržené konstrukce splňují požadavky příslušných norem na maximální dovolené deformace,</w:t>
      </w:r>
    </w:p>
    <w:p w:rsidR="00482DC9" w:rsidRPr="001B2D0D" w:rsidRDefault="00482DC9" w:rsidP="00482DC9">
      <w:pPr>
        <w:pStyle w:val="Bezmezer"/>
        <w:numPr>
          <w:ilvl w:val="0"/>
          <w:numId w:val="20"/>
        </w:numPr>
      </w:pPr>
      <w:r w:rsidRPr="001B2D0D">
        <w:t>poškození jiných částí stavby nebo technických zařízení anebo instalovaného vybavení v důsledku většího přetvoření nosné konstrukce,</w:t>
      </w:r>
    </w:p>
    <w:p w:rsidR="00482DC9" w:rsidRPr="001B2D0D" w:rsidRDefault="00482DC9" w:rsidP="00482DC9">
      <w:pPr>
        <w:pStyle w:val="Bezmezer"/>
        <w:numPr>
          <w:ilvl w:val="0"/>
          <w:numId w:val="20"/>
        </w:numPr>
      </w:pPr>
      <w:r w:rsidRPr="001B2D0D">
        <w:t>poškození v případě, kdy je rozsah neúměrný původní příčině.</w:t>
      </w:r>
    </w:p>
    <w:p w:rsidR="00482DC9" w:rsidRPr="001B2D0D" w:rsidRDefault="00482DC9" w:rsidP="00482DC9"/>
    <w:p w:rsidR="00390ADB" w:rsidRPr="00DD4B62" w:rsidRDefault="00482DC9" w:rsidP="00482DC9">
      <w:r w:rsidRPr="001B2D0D">
        <w:t>Konstrukce, tak jak je navržena a posouzena, vyhovuje podle platných ČSN.</w:t>
      </w:r>
    </w:p>
    <w:sectPr w:rsidR="00390ADB" w:rsidRPr="00DD4B62" w:rsidSect="00AA0D69">
      <w:headerReference w:type="default" r:id="rId13"/>
      <w:footerReference w:type="default" r:id="rId14"/>
      <w:headerReference w:type="first" r:id="rId15"/>
      <w:pgSz w:w="11906" w:h="16838"/>
      <w:pgMar w:top="1417" w:right="1417" w:bottom="1417" w:left="1417" w:header="708" w:footer="708"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7DC6" w:rsidRDefault="00C27DC6" w:rsidP="006F5955">
      <w:pPr>
        <w:spacing w:after="0"/>
      </w:pPr>
      <w:r>
        <w:separator/>
      </w:r>
    </w:p>
  </w:endnote>
  <w:endnote w:type="continuationSeparator" w:id="0">
    <w:p w:rsidR="00C27DC6" w:rsidRDefault="00C27DC6" w:rsidP="006F5955">
      <w:pPr>
        <w:spacing w:after="0"/>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entury Gothic">
    <w:altName w:val="Century Gothic"/>
    <w:panose1 w:val="020B0502020202020204"/>
    <w:charset w:val="EE"/>
    <w:family w:val="swiss"/>
    <w:pitch w:val="variable"/>
    <w:sig w:usb0="00000287" w:usb1="00000000" w:usb2="00000000" w:usb3="00000000" w:csb0="0000009F" w:csb1="00000000"/>
  </w:font>
  <w:font w:name="Impact">
    <w:panose1 w:val="020B0806030902050204"/>
    <w:charset w:val="EE"/>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7DC6" w:rsidRPr="00152E05" w:rsidRDefault="002E7BCF">
    <w:pPr>
      <w:pStyle w:val="Zpat"/>
      <w:rPr>
        <w:rFonts w:ascii="Century Gothic" w:hAnsi="Century Gothic"/>
        <w:color w:val="17365D" w:themeColor="text2" w:themeShade="BF"/>
      </w:rPr>
    </w:pPr>
    <w:r w:rsidRPr="002E7BCF">
      <w:rPr>
        <w:rFonts w:ascii="Impact" w:hAnsi="Impact"/>
        <w:noProof/>
        <w:color w:val="17365D" w:themeColor="text2" w:themeShade="BF"/>
        <w:sz w:val="16"/>
        <w:szCs w:val="16"/>
        <w:lang w:eastAsia="cs-CZ"/>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3" o:spid="_x0000_s8194" type="#_x0000_t34" style="position:absolute;left:0;text-align:left;margin-left:.25pt;margin-top:-.95pt;width:458.2pt;height:.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" strokecolor="#17365d [2415]" strokeweight="1.25pt"/>
      </w:pict>
    </w:r>
    <w:r w:rsidR="00C27DC6" w:rsidRPr="00152E05">
      <w:rPr>
        <w:rFonts w:ascii="Impact" w:hAnsi="Impact"/>
        <w:color w:val="17365D" w:themeColor="text2" w:themeShade="BF"/>
        <w:sz w:val="16"/>
        <w:szCs w:val="16"/>
      </w:rPr>
      <w:t>první statická s.r.o.</w:t>
    </w:r>
    <w:r w:rsidR="00C27DC6">
      <w:rPr>
        <w:rFonts w:ascii="Impact" w:hAnsi="Impact"/>
        <w:color w:val="17365D" w:themeColor="text2" w:themeShade="BF"/>
        <w:sz w:val="14"/>
        <w:szCs w:val="14"/>
      </w:rPr>
      <w:tab/>
    </w:r>
    <w:r w:rsidR="00C27DC6">
      <w:rPr>
        <w:rFonts w:ascii="Impact" w:hAnsi="Impact"/>
        <w:color w:val="17365D" w:themeColor="text2" w:themeShade="BF"/>
        <w:sz w:val="14"/>
        <w:szCs w:val="14"/>
      </w:rPr>
      <w:tab/>
    </w:r>
    <w:r w:rsidRPr="00152E05">
      <w:rPr>
        <w:rFonts w:ascii="Century Gothic" w:hAnsi="Century Gothic"/>
        <w:color w:val="17365D" w:themeColor="text2" w:themeShade="BF"/>
      </w:rPr>
      <w:fldChar w:fldCharType="begin"/>
    </w:r>
    <w:r w:rsidR="00C27DC6" w:rsidRPr="00152E05">
      <w:rPr>
        <w:rFonts w:ascii="Century Gothic" w:hAnsi="Century Gothic"/>
        <w:color w:val="17365D" w:themeColor="text2" w:themeShade="BF"/>
      </w:rPr>
      <w:instrText xml:space="preserve"> PAGE   \* MERGEFORMAT </w:instrText>
    </w:r>
    <w:r w:rsidRPr="00152E05">
      <w:rPr>
        <w:rFonts w:ascii="Century Gothic" w:hAnsi="Century Gothic"/>
        <w:color w:val="17365D" w:themeColor="text2" w:themeShade="BF"/>
      </w:rPr>
      <w:fldChar w:fldCharType="separate"/>
    </w:r>
    <w:r w:rsidR="00617532">
      <w:rPr>
        <w:rFonts w:ascii="Century Gothic" w:hAnsi="Century Gothic"/>
        <w:noProof/>
        <w:color w:val="17365D" w:themeColor="text2" w:themeShade="BF"/>
      </w:rPr>
      <w:t>1</w:t>
    </w:r>
    <w:r w:rsidRPr="00152E05">
      <w:rPr>
        <w:rFonts w:ascii="Century Gothic" w:hAnsi="Century Gothic"/>
        <w:color w:val="17365D" w:themeColor="text2" w:themeShade="BF"/>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7DC6" w:rsidRDefault="00C27DC6" w:rsidP="006F5955">
      <w:pPr>
        <w:spacing w:after="0"/>
      </w:pPr>
      <w:r>
        <w:separator/>
      </w:r>
    </w:p>
  </w:footnote>
  <w:footnote w:type="continuationSeparator" w:id="0">
    <w:p w:rsidR="00C27DC6" w:rsidRDefault="00C27DC6" w:rsidP="006F5955">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7DC6" w:rsidRPr="006F5955" w:rsidRDefault="00C27DC6" w:rsidP="006F5955">
    <w:pPr>
      <w:pStyle w:val="Zhlav"/>
      <w:tabs>
        <w:tab w:val="clear" w:pos="4536"/>
        <w:tab w:val="clear" w:pos="9072"/>
        <w:tab w:val="center" w:pos="776"/>
        <w:tab w:val="right" w:pos="1771"/>
        <w:tab w:val="left" w:pos="6166"/>
        <w:tab w:val="left" w:pos="7583"/>
      </w:tabs>
      <w:ind w:left="-497"/>
      <w:jc w:val="right"/>
      <w:rPr>
        <w:rFonts w:ascii="Century Gothic" w:hAnsi="Century Gothic" w:cs="Tahoma"/>
        <w:color w:val="17365D" w:themeColor="text2" w:themeShade="BF"/>
        <w:sz w:val="14"/>
        <w:szCs w:val="14"/>
      </w:rPr>
    </w:pPr>
    <w:r w:rsidRPr="006F5955">
      <w:rPr>
        <w:rFonts w:ascii="Century Gothic" w:hAnsi="Century Gothic" w:cs="Tahoma"/>
        <w:noProof/>
        <w:color w:val="17365D" w:themeColor="text2" w:themeShade="BF"/>
        <w:sz w:val="16"/>
        <w:lang w:eastAsia="cs-CZ"/>
      </w:rPr>
      <w:drawing>
        <wp:anchor distT="0" distB="0" distL="114300" distR="114300" simplePos="0" relativeHeight="251662336" behindDoc="1" locked="0" layoutInCell="1" allowOverlap="1">
          <wp:simplePos x="0" y="0"/>
          <wp:positionH relativeFrom="column">
            <wp:posOffset>2124</wp:posOffset>
          </wp:positionH>
          <wp:positionV relativeFrom="paragraph">
            <wp:posOffset>-160068</wp:posOffset>
          </wp:positionV>
          <wp:extent cx="370788" cy="318177"/>
          <wp:effectExtent l="19050" t="0" r="0" b="0"/>
          <wp:wrapNone/>
          <wp:docPr id="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l="23387" t="11700" r="43614" b="33620"/>
                  <a:stretch>
                    <a:fillRect/>
                  </a:stretch>
                </pic:blipFill>
                <pic:spPr bwMode="auto">
                  <a:xfrm>
                    <a:off x="0" y="0"/>
                    <a:ext cx="370788" cy="318177"/>
                  </a:xfrm>
                  <a:prstGeom prst="rect">
                    <a:avLst/>
                  </a:prstGeom>
                  <a:noFill/>
                </pic:spPr>
              </pic:pic>
            </a:graphicData>
          </a:graphic>
        </wp:anchor>
      </w:drawing>
    </w:r>
    <w:r>
      <w:rPr>
        <w:rFonts w:ascii="Century Gothic" w:hAnsi="Century Gothic" w:cs="Tahoma"/>
        <w:noProof/>
        <w:color w:val="17365D" w:themeColor="text2" w:themeShade="BF"/>
        <w:sz w:val="16"/>
        <w:lang w:eastAsia="cs-CZ"/>
      </w:rPr>
      <w:t>VÝSTAVBA CHRÁNĚNÉHO BYDLENÍ V NOVÉ PACE</w:t>
    </w:r>
  </w:p>
  <w:p w:rsidR="00C27DC6" w:rsidRDefault="002E7BCF">
    <w:pPr>
      <w:pStyle w:val="Zhlav"/>
    </w:pPr>
    <w:r>
      <w:rPr>
        <w:noProof/>
        <w:lang w:eastAsia="cs-CZ"/>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 o:spid="_x0000_s8195" type="#_x0000_t34" style="position:absolute;left:0;text-align:left;margin-left:28pt;margin-top:1.75pt;width:430.45pt;height:.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" adj="10799" strokecolor="#17365d [2415]" strokeweight="1.25pt"/>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7DC6" w:rsidRPr="006F5955" w:rsidRDefault="00C27DC6" w:rsidP="005728DE">
    <w:pPr>
      <w:pStyle w:val="Zhlav"/>
      <w:tabs>
        <w:tab w:val="clear" w:pos="4536"/>
        <w:tab w:val="clear" w:pos="9072"/>
        <w:tab w:val="center" w:pos="776"/>
        <w:tab w:val="right" w:pos="1771"/>
        <w:tab w:val="left" w:pos="6166"/>
        <w:tab w:val="left" w:pos="7583"/>
      </w:tabs>
      <w:ind w:left="-497"/>
      <w:jc w:val="right"/>
      <w:rPr>
        <w:rFonts w:ascii="Century Gothic" w:hAnsi="Century Gothic" w:cs="Tahoma"/>
        <w:color w:val="17365D" w:themeColor="text2" w:themeShade="BF"/>
        <w:sz w:val="14"/>
        <w:szCs w:val="14"/>
      </w:rPr>
    </w:pPr>
    <w:r w:rsidRPr="006F5955">
      <w:rPr>
        <w:rFonts w:ascii="Century Gothic" w:hAnsi="Century Gothic" w:cs="Tahoma"/>
        <w:noProof/>
        <w:color w:val="17365D" w:themeColor="text2" w:themeShade="BF"/>
        <w:sz w:val="16"/>
        <w:lang w:eastAsia="cs-CZ"/>
      </w:rPr>
      <w:drawing>
        <wp:anchor distT="0" distB="0" distL="114300" distR="114300" simplePos="0" relativeHeight="251666432" behindDoc="1" locked="0" layoutInCell="1" allowOverlap="1">
          <wp:simplePos x="0" y="0"/>
          <wp:positionH relativeFrom="column">
            <wp:posOffset>2124</wp:posOffset>
          </wp:positionH>
          <wp:positionV relativeFrom="paragraph">
            <wp:posOffset>-160068</wp:posOffset>
          </wp:positionV>
          <wp:extent cx="370788" cy="318177"/>
          <wp:effectExtent l="1905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l="23387" t="11700" r="43614" b="33620"/>
                  <a:stretch>
                    <a:fillRect/>
                  </a:stretch>
                </pic:blipFill>
                <pic:spPr bwMode="auto">
                  <a:xfrm>
                    <a:off x="0" y="0"/>
                    <a:ext cx="370788" cy="318177"/>
                  </a:xfrm>
                  <a:prstGeom prst="rect">
                    <a:avLst/>
                  </a:prstGeom>
                  <a:noFill/>
                </pic:spPr>
              </pic:pic>
            </a:graphicData>
          </a:graphic>
        </wp:anchor>
      </w:drawing>
    </w:r>
    <w:r>
      <w:rPr>
        <w:rFonts w:ascii="Century Gothic" w:hAnsi="Century Gothic" w:cs="Tahoma"/>
        <w:noProof/>
        <w:color w:val="17365D" w:themeColor="text2" w:themeShade="BF"/>
        <w:sz w:val="16"/>
        <w:lang w:eastAsia="cs-CZ"/>
      </w:rPr>
      <w:t>STAVEBNÍ ÚPRAVY RD ŘÍČANY, PŘÍSTAVBA NA POZEMKU</w:t>
    </w:r>
  </w:p>
  <w:p w:rsidR="00C27DC6" w:rsidRDefault="002E7BCF">
    <w:pPr>
      <w:pStyle w:val="Zhlav"/>
    </w:pPr>
    <w:r>
      <w:rPr>
        <w:noProof/>
        <w:lang w:eastAsia="cs-CZ"/>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8193" type="#_x0000_t34" style="position:absolute;left:0;text-align:left;margin-left:28pt;margin-top:1.25pt;width:430.45pt;height:.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" adj="10799" strokecolor="#17365d [2415]" strokeweight="1.25p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86370"/>
    <w:multiLevelType w:val="hybridMultilevel"/>
    <w:tmpl w:val="16A4DB8C"/>
    <w:lvl w:ilvl="0" w:tplc="C010AFCA">
      <w:numFmt w:val="bullet"/>
      <w:lvlText w:val="-"/>
      <w:lvlJc w:val="left"/>
      <w:pPr>
        <w:ind w:left="1146" w:hanging="360"/>
      </w:pPr>
      <w:rPr>
        <w:rFonts w:ascii="Arial" w:eastAsia="Times New Roman" w:hAnsi="Arial" w:cs="Aria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
    <w:nsid w:val="07E1728A"/>
    <w:multiLevelType w:val="hybridMultilevel"/>
    <w:tmpl w:val="D1286C4E"/>
    <w:lvl w:ilvl="0" w:tplc="04050001">
      <w:start w:val="1"/>
      <w:numFmt w:val="bullet"/>
      <w:lvlText w:val=""/>
      <w:lvlJc w:val="left"/>
      <w:pPr>
        <w:ind w:left="3478" w:hanging="360"/>
      </w:pPr>
      <w:rPr>
        <w:rFonts w:ascii="Symbol" w:hAnsi="Symbol" w:hint="default"/>
      </w:rPr>
    </w:lvl>
    <w:lvl w:ilvl="1" w:tplc="04050003" w:tentative="1">
      <w:start w:val="1"/>
      <w:numFmt w:val="bullet"/>
      <w:lvlText w:val="o"/>
      <w:lvlJc w:val="left"/>
      <w:pPr>
        <w:ind w:left="4274" w:hanging="360"/>
      </w:pPr>
      <w:rPr>
        <w:rFonts w:ascii="Courier New" w:hAnsi="Courier New" w:cs="Courier New" w:hint="default"/>
      </w:rPr>
    </w:lvl>
    <w:lvl w:ilvl="2" w:tplc="04050005" w:tentative="1">
      <w:start w:val="1"/>
      <w:numFmt w:val="bullet"/>
      <w:lvlText w:val=""/>
      <w:lvlJc w:val="left"/>
      <w:pPr>
        <w:ind w:left="4994" w:hanging="360"/>
      </w:pPr>
      <w:rPr>
        <w:rFonts w:ascii="Wingdings" w:hAnsi="Wingdings" w:hint="default"/>
      </w:rPr>
    </w:lvl>
    <w:lvl w:ilvl="3" w:tplc="04050001" w:tentative="1">
      <w:start w:val="1"/>
      <w:numFmt w:val="bullet"/>
      <w:lvlText w:val=""/>
      <w:lvlJc w:val="left"/>
      <w:pPr>
        <w:ind w:left="5714" w:hanging="360"/>
      </w:pPr>
      <w:rPr>
        <w:rFonts w:ascii="Symbol" w:hAnsi="Symbol" w:hint="default"/>
      </w:rPr>
    </w:lvl>
    <w:lvl w:ilvl="4" w:tplc="04050003" w:tentative="1">
      <w:start w:val="1"/>
      <w:numFmt w:val="bullet"/>
      <w:lvlText w:val="o"/>
      <w:lvlJc w:val="left"/>
      <w:pPr>
        <w:ind w:left="6434" w:hanging="360"/>
      </w:pPr>
      <w:rPr>
        <w:rFonts w:ascii="Courier New" w:hAnsi="Courier New" w:cs="Courier New" w:hint="default"/>
      </w:rPr>
    </w:lvl>
    <w:lvl w:ilvl="5" w:tplc="04050005" w:tentative="1">
      <w:start w:val="1"/>
      <w:numFmt w:val="bullet"/>
      <w:lvlText w:val=""/>
      <w:lvlJc w:val="left"/>
      <w:pPr>
        <w:ind w:left="7154" w:hanging="360"/>
      </w:pPr>
      <w:rPr>
        <w:rFonts w:ascii="Wingdings" w:hAnsi="Wingdings" w:hint="default"/>
      </w:rPr>
    </w:lvl>
    <w:lvl w:ilvl="6" w:tplc="04050001" w:tentative="1">
      <w:start w:val="1"/>
      <w:numFmt w:val="bullet"/>
      <w:lvlText w:val=""/>
      <w:lvlJc w:val="left"/>
      <w:pPr>
        <w:ind w:left="7874" w:hanging="360"/>
      </w:pPr>
      <w:rPr>
        <w:rFonts w:ascii="Symbol" w:hAnsi="Symbol" w:hint="default"/>
      </w:rPr>
    </w:lvl>
    <w:lvl w:ilvl="7" w:tplc="04050003" w:tentative="1">
      <w:start w:val="1"/>
      <w:numFmt w:val="bullet"/>
      <w:lvlText w:val="o"/>
      <w:lvlJc w:val="left"/>
      <w:pPr>
        <w:ind w:left="8594" w:hanging="360"/>
      </w:pPr>
      <w:rPr>
        <w:rFonts w:ascii="Courier New" w:hAnsi="Courier New" w:cs="Courier New" w:hint="default"/>
      </w:rPr>
    </w:lvl>
    <w:lvl w:ilvl="8" w:tplc="04050005" w:tentative="1">
      <w:start w:val="1"/>
      <w:numFmt w:val="bullet"/>
      <w:lvlText w:val=""/>
      <w:lvlJc w:val="left"/>
      <w:pPr>
        <w:ind w:left="9314" w:hanging="360"/>
      </w:pPr>
      <w:rPr>
        <w:rFonts w:ascii="Wingdings" w:hAnsi="Wingdings" w:hint="default"/>
      </w:rPr>
    </w:lvl>
  </w:abstractNum>
  <w:abstractNum w:abstractNumId="2">
    <w:nsid w:val="0C6C2BB0"/>
    <w:multiLevelType w:val="hybridMultilevel"/>
    <w:tmpl w:val="82C2C600"/>
    <w:lvl w:ilvl="0" w:tplc="04050001">
      <w:start w:val="1"/>
      <w:numFmt w:val="bullet"/>
      <w:lvlText w:val=""/>
      <w:lvlJc w:val="left"/>
      <w:pPr>
        <w:ind w:left="2286" w:hanging="360"/>
      </w:pPr>
      <w:rPr>
        <w:rFonts w:ascii="Symbol" w:hAnsi="Symbol" w:hint="default"/>
      </w:rPr>
    </w:lvl>
    <w:lvl w:ilvl="1" w:tplc="04050003">
      <w:start w:val="1"/>
      <w:numFmt w:val="bullet"/>
      <w:lvlText w:val="o"/>
      <w:lvlJc w:val="left"/>
      <w:pPr>
        <w:ind w:left="3006" w:hanging="360"/>
      </w:pPr>
      <w:rPr>
        <w:rFonts w:ascii="Courier New" w:hAnsi="Courier New" w:cs="Courier New" w:hint="default"/>
      </w:rPr>
    </w:lvl>
    <w:lvl w:ilvl="2" w:tplc="04050005">
      <w:start w:val="1"/>
      <w:numFmt w:val="bullet"/>
      <w:lvlText w:val=""/>
      <w:lvlJc w:val="left"/>
      <w:pPr>
        <w:ind w:left="3726" w:hanging="360"/>
      </w:pPr>
      <w:rPr>
        <w:rFonts w:ascii="Wingdings" w:hAnsi="Wingdings" w:hint="default"/>
      </w:rPr>
    </w:lvl>
    <w:lvl w:ilvl="3" w:tplc="04050001">
      <w:start w:val="1"/>
      <w:numFmt w:val="bullet"/>
      <w:lvlText w:val=""/>
      <w:lvlJc w:val="left"/>
      <w:pPr>
        <w:ind w:left="4446" w:hanging="360"/>
      </w:pPr>
      <w:rPr>
        <w:rFonts w:ascii="Symbol" w:hAnsi="Symbol" w:hint="default"/>
      </w:rPr>
    </w:lvl>
    <w:lvl w:ilvl="4" w:tplc="04050003">
      <w:start w:val="1"/>
      <w:numFmt w:val="bullet"/>
      <w:lvlText w:val="o"/>
      <w:lvlJc w:val="left"/>
      <w:pPr>
        <w:ind w:left="5166" w:hanging="360"/>
      </w:pPr>
      <w:rPr>
        <w:rFonts w:ascii="Courier New" w:hAnsi="Courier New" w:cs="Courier New" w:hint="default"/>
      </w:rPr>
    </w:lvl>
    <w:lvl w:ilvl="5" w:tplc="04050005">
      <w:start w:val="1"/>
      <w:numFmt w:val="bullet"/>
      <w:lvlText w:val=""/>
      <w:lvlJc w:val="left"/>
      <w:pPr>
        <w:ind w:left="5886" w:hanging="360"/>
      </w:pPr>
      <w:rPr>
        <w:rFonts w:ascii="Wingdings" w:hAnsi="Wingdings" w:hint="default"/>
      </w:rPr>
    </w:lvl>
    <w:lvl w:ilvl="6" w:tplc="04050001">
      <w:start w:val="1"/>
      <w:numFmt w:val="bullet"/>
      <w:lvlText w:val=""/>
      <w:lvlJc w:val="left"/>
      <w:pPr>
        <w:ind w:left="6606" w:hanging="360"/>
      </w:pPr>
      <w:rPr>
        <w:rFonts w:ascii="Symbol" w:hAnsi="Symbol" w:hint="default"/>
      </w:rPr>
    </w:lvl>
    <w:lvl w:ilvl="7" w:tplc="04050003">
      <w:start w:val="1"/>
      <w:numFmt w:val="bullet"/>
      <w:lvlText w:val="o"/>
      <w:lvlJc w:val="left"/>
      <w:pPr>
        <w:ind w:left="7326" w:hanging="360"/>
      </w:pPr>
      <w:rPr>
        <w:rFonts w:ascii="Courier New" w:hAnsi="Courier New" w:cs="Courier New" w:hint="default"/>
      </w:rPr>
    </w:lvl>
    <w:lvl w:ilvl="8" w:tplc="04050005">
      <w:start w:val="1"/>
      <w:numFmt w:val="bullet"/>
      <w:lvlText w:val=""/>
      <w:lvlJc w:val="left"/>
      <w:pPr>
        <w:ind w:left="8046" w:hanging="360"/>
      </w:pPr>
      <w:rPr>
        <w:rFonts w:ascii="Wingdings" w:hAnsi="Wingdings" w:hint="default"/>
      </w:rPr>
    </w:lvl>
  </w:abstractNum>
  <w:abstractNum w:abstractNumId="3">
    <w:nsid w:val="13473577"/>
    <w:multiLevelType w:val="hybridMultilevel"/>
    <w:tmpl w:val="5AACD2A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140A02A8"/>
    <w:multiLevelType w:val="hybridMultilevel"/>
    <w:tmpl w:val="097077D2"/>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nsid w:val="14FD582E"/>
    <w:multiLevelType w:val="hybridMultilevel"/>
    <w:tmpl w:val="757A4C8C"/>
    <w:lvl w:ilvl="0" w:tplc="C010AFCA">
      <w:numFmt w:val="bullet"/>
      <w:lvlText w:val="-"/>
      <w:lvlJc w:val="left"/>
      <w:pPr>
        <w:ind w:left="1146" w:hanging="360"/>
      </w:pPr>
      <w:rPr>
        <w:rFonts w:ascii="Arial" w:eastAsia="Times New Roman" w:hAnsi="Arial" w:cs="Aria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6">
    <w:nsid w:val="15CF699C"/>
    <w:multiLevelType w:val="hybridMultilevel"/>
    <w:tmpl w:val="B756CC2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16421756"/>
    <w:multiLevelType w:val="hybridMultilevel"/>
    <w:tmpl w:val="FF8ADF08"/>
    <w:lvl w:ilvl="0" w:tplc="04050001">
      <w:start w:val="1"/>
      <w:numFmt w:val="bullet"/>
      <w:lvlText w:val=""/>
      <w:lvlJc w:val="left"/>
      <w:pPr>
        <w:ind w:left="720" w:hanging="360"/>
      </w:pPr>
      <w:rPr>
        <w:rFonts w:ascii="Symbol" w:hAnsi="Symbol" w:hint="default"/>
      </w:rPr>
    </w:lvl>
    <w:lvl w:ilvl="1" w:tplc="0405000F">
      <w:start w:val="1"/>
      <w:numFmt w:val="decimal"/>
      <w:lvlText w:val="%2."/>
      <w:lvlJc w:val="left"/>
      <w:pPr>
        <w:ind w:left="1440" w:hanging="360"/>
      </w:pPr>
      <w:rPr>
        <w:rFont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179E2F7E"/>
    <w:multiLevelType w:val="hybridMultilevel"/>
    <w:tmpl w:val="534AAA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18680594"/>
    <w:multiLevelType w:val="hybridMultilevel"/>
    <w:tmpl w:val="5E3234DA"/>
    <w:lvl w:ilvl="0" w:tplc="89C4B0DA">
      <w:start w:val="1"/>
      <w:numFmt w:val="bullet"/>
      <w:lvlText w:val="o"/>
      <w:lvlJc w:val="left"/>
      <w:pPr>
        <w:tabs>
          <w:tab w:val="num" w:pos="851"/>
        </w:tabs>
        <w:ind w:left="851" w:hanging="397"/>
      </w:pPr>
      <w:rPr>
        <w:rFonts w:hAnsi="Courier New"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nsid w:val="1C103EB3"/>
    <w:multiLevelType w:val="hybridMultilevel"/>
    <w:tmpl w:val="345C0A30"/>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1">
    <w:nsid w:val="1E3B799C"/>
    <w:multiLevelType w:val="hybridMultilevel"/>
    <w:tmpl w:val="6472EA5A"/>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24C30005"/>
    <w:multiLevelType w:val="hybridMultilevel"/>
    <w:tmpl w:val="DE4A51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27B33DBB"/>
    <w:multiLevelType w:val="hybridMultilevel"/>
    <w:tmpl w:val="E84674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2BB7592F"/>
    <w:multiLevelType w:val="hybridMultilevel"/>
    <w:tmpl w:val="A8CAD994"/>
    <w:lvl w:ilvl="0" w:tplc="53266CE2">
      <w:start w:val="1"/>
      <w:numFmt w:val="decimal"/>
      <w:lvlText w:val="%1."/>
      <w:lvlJc w:val="left"/>
      <w:pPr>
        <w:ind w:left="851" w:hanging="284"/>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31F6620F"/>
    <w:multiLevelType w:val="hybridMultilevel"/>
    <w:tmpl w:val="FC804E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3B4F72A9"/>
    <w:multiLevelType w:val="hybridMultilevel"/>
    <w:tmpl w:val="5804F7B2"/>
    <w:lvl w:ilvl="0" w:tplc="04050019">
      <w:start w:val="1"/>
      <w:numFmt w:val="lowerLetter"/>
      <w:lvlText w:val="%1."/>
      <w:lvlJc w:val="left"/>
      <w:pPr>
        <w:tabs>
          <w:tab w:val="num" w:pos="783"/>
        </w:tabs>
        <w:ind w:left="783"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nsid w:val="412F5A8E"/>
    <w:multiLevelType w:val="hybridMultilevel"/>
    <w:tmpl w:val="A6766BDC"/>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nsid w:val="489E24AD"/>
    <w:multiLevelType w:val="hybridMultilevel"/>
    <w:tmpl w:val="55C4AA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4AEF0A9E"/>
    <w:multiLevelType w:val="hybridMultilevel"/>
    <w:tmpl w:val="0324CCA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CE41CA9"/>
    <w:multiLevelType w:val="hybridMultilevel"/>
    <w:tmpl w:val="809A0422"/>
    <w:lvl w:ilvl="0" w:tplc="04050001">
      <w:start w:val="1"/>
      <w:numFmt w:val="bullet"/>
      <w:lvlText w:val=""/>
      <w:lvlJc w:val="left"/>
      <w:pPr>
        <w:ind w:left="1776" w:hanging="360"/>
      </w:pPr>
      <w:rPr>
        <w:rFonts w:ascii="Symbol" w:hAnsi="Symbol"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4D4F11FB"/>
    <w:multiLevelType w:val="hybridMultilevel"/>
    <w:tmpl w:val="0584D7C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5C992131"/>
    <w:multiLevelType w:val="hybridMultilevel"/>
    <w:tmpl w:val="0A9A23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667F54D7"/>
    <w:multiLevelType w:val="hybridMultilevel"/>
    <w:tmpl w:val="C0949472"/>
    <w:lvl w:ilvl="0" w:tplc="C4F213BC">
      <w:start w:val="1"/>
      <w:numFmt w:val="decimal"/>
      <w:lvlText w:val="[%1]"/>
      <w:lvlJc w:val="left"/>
      <w:pPr>
        <w:ind w:left="720" w:hanging="360"/>
      </w:pPr>
      <w:rPr>
        <w:rFonts w:ascii="Calibri" w:hAnsi="Calibri"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6F6300BE"/>
    <w:multiLevelType w:val="hybridMultilevel"/>
    <w:tmpl w:val="613E01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2916AF1"/>
    <w:multiLevelType w:val="hybridMultilevel"/>
    <w:tmpl w:val="D3C266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7D4534A"/>
    <w:multiLevelType w:val="multilevel"/>
    <w:tmpl w:val="DF2C3A88"/>
    <w:lvl w:ilvl="0">
      <w:start w:val="1"/>
      <w:numFmt w:val="decimal"/>
      <w:pStyle w:val="Nadpis1"/>
      <w:lvlText w:val="%1"/>
      <w:lvlJc w:val="left"/>
      <w:pPr>
        <w:tabs>
          <w:tab w:val="num" w:pos="432"/>
        </w:tabs>
        <w:ind w:left="432" w:hanging="432"/>
      </w:pPr>
    </w:lvl>
    <w:lvl w:ilvl="1">
      <w:start w:val="1"/>
      <w:numFmt w:val="decimal"/>
      <w:pStyle w:val="Nadpis2"/>
      <w:lvlText w:val="%1.%2"/>
      <w:lvlJc w:val="left"/>
      <w:pPr>
        <w:tabs>
          <w:tab w:val="num" w:pos="576"/>
        </w:tabs>
        <w:ind w:left="576" w:hanging="576"/>
      </w:pPr>
    </w:lvl>
    <w:lvl w:ilvl="2">
      <w:start w:val="1"/>
      <w:numFmt w:val="decimal"/>
      <w:pStyle w:val="Nadpis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7">
    <w:nsid w:val="79AC2018"/>
    <w:multiLevelType w:val="hybridMultilevel"/>
    <w:tmpl w:val="4AAAC094"/>
    <w:lvl w:ilvl="0" w:tplc="04050001">
      <w:start w:val="1"/>
      <w:numFmt w:val="bullet"/>
      <w:lvlText w:val=""/>
      <w:lvlJc w:val="left"/>
      <w:pPr>
        <w:ind w:left="1776" w:hanging="360"/>
      </w:pPr>
      <w:rPr>
        <w:rFonts w:ascii="Symbol" w:hAnsi="Symbol"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8">
    <w:nsid w:val="7B4719A7"/>
    <w:multiLevelType w:val="hybridMultilevel"/>
    <w:tmpl w:val="C832AB96"/>
    <w:lvl w:ilvl="0" w:tplc="AC76B0C4">
      <w:start w:val="1"/>
      <w:numFmt w:val="bullet"/>
      <w:lvlText w:val=""/>
      <w:lvlJc w:val="left"/>
      <w:pPr>
        <w:tabs>
          <w:tab w:val="num" w:pos="720"/>
        </w:tabs>
        <w:ind w:left="720" w:hanging="360"/>
      </w:pPr>
      <w:rPr>
        <w:rFonts w:ascii="Symbol" w:hAnsi="Symbol" w:hint="default"/>
      </w:rPr>
    </w:lvl>
    <w:lvl w:ilvl="1" w:tplc="DF46182C" w:tentative="1">
      <w:start w:val="1"/>
      <w:numFmt w:val="bullet"/>
      <w:lvlText w:val="o"/>
      <w:lvlJc w:val="left"/>
      <w:pPr>
        <w:tabs>
          <w:tab w:val="num" w:pos="1440"/>
        </w:tabs>
        <w:ind w:left="1440" w:hanging="360"/>
      </w:pPr>
      <w:rPr>
        <w:rFonts w:ascii="Courier New" w:hAnsi="Courier New" w:hint="default"/>
      </w:rPr>
    </w:lvl>
    <w:lvl w:ilvl="2" w:tplc="AADAF394" w:tentative="1">
      <w:start w:val="1"/>
      <w:numFmt w:val="bullet"/>
      <w:lvlText w:val=""/>
      <w:lvlJc w:val="left"/>
      <w:pPr>
        <w:tabs>
          <w:tab w:val="num" w:pos="2160"/>
        </w:tabs>
        <w:ind w:left="2160" w:hanging="360"/>
      </w:pPr>
      <w:rPr>
        <w:rFonts w:ascii="Wingdings" w:hAnsi="Wingdings" w:hint="default"/>
      </w:rPr>
    </w:lvl>
    <w:lvl w:ilvl="3" w:tplc="1FB24E90" w:tentative="1">
      <w:start w:val="1"/>
      <w:numFmt w:val="bullet"/>
      <w:lvlText w:val=""/>
      <w:lvlJc w:val="left"/>
      <w:pPr>
        <w:tabs>
          <w:tab w:val="num" w:pos="2880"/>
        </w:tabs>
        <w:ind w:left="2880" w:hanging="360"/>
      </w:pPr>
      <w:rPr>
        <w:rFonts w:ascii="Symbol" w:hAnsi="Symbol" w:hint="default"/>
      </w:rPr>
    </w:lvl>
    <w:lvl w:ilvl="4" w:tplc="7982F00C" w:tentative="1">
      <w:start w:val="1"/>
      <w:numFmt w:val="bullet"/>
      <w:lvlText w:val="o"/>
      <w:lvlJc w:val="left"/>
      <w:pPr>
        <w:tabs>
          <w:tab w:val="num" w:pos="3600"/>
        </w:tabs>
        <w:ind w:left="3600" w:hanging="360"/>
      </w:pPr>
      <w:rPr>
        <w:rFonts w:ascii="Courier New" w:hAnsi="Courier New" w:hint="default"/>
      </w:rPr>
    </w:lvl>
    <w:lvl w:ilvl="5" w:tplc="BEC2ABC8" w:tentative="1">
      <w:start w:val="1"/>
      <w:numFmt w:val="bullet"/>
      <w:lvlText w:val=""/>
      <w:lvlJc w:val="left"/>
      <w:pPr>
        <w:tabs>
          <w:tab w:val="num" w:pos="4320"/>
        </w:tabs>
        <w:ind w:left="4320" w:hanging="360"/>
      </w:pPr>
      <w:rPr>
        <w:rFonts w:ascii="Wingdings" w:hAnsi="Wingdings" w:hint="default"/>
      </w:rPr>
    </w:lvl>
    <w:lvl w:ilvl="6" w:tplc="97F62D56" w:tentative="1">
      <w:start w:val="1"/>
      <w:numFmt w:val="bullet"/>
      <w:lvlText w:val=""/>
      <w:lvlJc w:val="left"/>
      <w:pPr>
        <w:tabs>
          <w:tab w:val="num" w:pos="5040"/>
        </w:tabs>
        <w:ind w:left="5040" w:hanging="360"/>
      </w:pPr>
      <w:rPr>
        <w:rFonts w:ascii="Symbol" w:hAnsi="Symbol" w:hint="default"/>
      </w:rPr>
    </w:lvl>
    <w:lvl w:ilvl="7" w:tplc="8AE6075C" w:tentative="1">
      <w:start w:val="1"/>
      <w:numFmt w:val="bullet"/>
      <w:lvlText w:val="o"/>
      <w:lvlJc w:val="left"/>
      <w:pPr>
        <w:tabs>
          <w:tab w:val="num" w:pos="5760"/>
        </w:tabs>
        <w:ind w:left="5760" w:hanging="360"/>
      </w:pPr>
      <w:rPr>
        <w:rFonts w:ascii="Courier New" w:hAnsi="Courier New" w:hint="default"/>
      </w:rPr>
    </w:lvl>
    <w:lvl w:ilvl="8" w:tplc="D1FAF2D0" w:tentative="1">
      <w:start w:val="1"/>
      <w:numFmt w:val="bullet"/>
      <w:lvlText w:val=""/>
      <w:lvlJc w:val="left"/>
      <w:pPr>
        <w:tabs>
          <w:tab w:val="num" w:pos="6480"/>
        </w:tabs>
        <w:ind w:left="6480" w:hanging="360"/>
      </w:pPr>
      <w:rPr>
        <w:rFonts w:ascii="Wingdings" w:hAnsi="Wingdings" w:hint="default"/>
      </w:rPr>
    </w:lvl>
  </w:abstractNum>
  <w:num w:numId="1">
    <w:abstractNumId w:val="26"/>
  </w:num>
  <w:num w:numId="2">
    <w:abstractNumId w:val="26"/>
  </w:num>
  <w:num w:numId="3">
    <w:abstractNumId w:val="3"/>
  </w:num>
  <w:num w:numId="4">
    <w:abstractNumId w:val="23"/>
  </w:num>
  <w:num w:numId="5">
    <w:abstractNumId w:val="9"/>
  </w:num>
  <w:num w:numId="6">
    <w:abstractNumId w:val="4"/>
  </w:num>
  <w:num w:numId="7">
    <w:abstractNumId w:val="6"/>
  </w:num>
  <w:num w:numId="8">
    <w:abstractNumId w:val="18"/>
  </w:num>
  <w:num w:numId="9">
    <w:abstractNumId w:val="27"/>
  </w:num>
  <w:num w:numId="10">
    <w:abstractNumId w:val="20"/>
  </w:num>
  <w:num w:numId="11">
    <w:abstractNumId w:val="14"/>
  </w:num>
  <w:num w:numId="12">
    <w:abstractNumId w:val="1"/>
  </w:num>
  <w:num w:numId="13">
    <w:abstractNumId w:val="0"/>
  </w:num>
  <w:num w:numId="14">
    <w:abstractNumId w:val="5"/>
  </w:num>
  <w:num w:numId="15">
    <w:abstractNumId w:val="21"/>
  </w:num>
  <w:num w:numId="16">
    <w:abstractNumId w:val="2"/>
  </w:num>
  <w:num w:numId="17">
    <w:abstractNumId w:val="11"/>
  </w:num>
  <w:num w:numId="18">
    <w:abstractNumId w:val="25"/>
  </w:num>
  <w:num w:numId="19">
    <w:abstractNumId w:val="7"/>
  </w:num>
  <w:num w:numId="20">
    <w:abstractNumId w:val="19"/>
  </w:num>
  <w:num w:numId="21">
    <w:abstractNumId w:val="28"/>
  </w:num>
  <w:num w:numId="22">
    <w:abstractNumId w:val="10"/>
  </w:num>
  <w:num w:numId="23">
    <w:abstractNumId w:val="13"/>
  </w:num>
  <w:num w:numId="24">
    <w:abstractNumId w:val="24"/>
  </w:num>
  <w:num w:numId="25">
    <w:abstractNumId w:val="15"/>
  </w:num>
  <w:num w:numId="26">
    <w:abstractNumId w:val="16"/>
  </w:num>
  <w:num w:numId="27">
    <w:abstractNumId w:val="8"/>
  </w:num>
  <w:num w:numId="28">
    <w:abstractNumId w:val="12"/>
  </w:num>
  <w:num w:numId="29">
    <w:abstractNumId w:val="22"/>
  </w:num>
  <w:num w:numId="30">
    <w:abstractNumId w:val="17"/>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drawingGridHorizontalSpacing w:val="110"/>
  <w:displayHorizontalDrawingGridEvery w:val="2"/>
  <w:characterSpacingControl w:val="doNotCompress"/>
  <w:hdrShapeDefaults>
    <o:shapedefaults v:ext="edit" spidmax="8196" fill="f" fillcolor="white">
      <v:fill color="white" on="f"/>
    </o:shapedefaults>
    <o:shapelayout v:ext="edit">
      <o:idmap v:ext="edit" data="8"/>
      <o:rules v:ext="edit">
        <o:r id="V:Rule4" type="connector" idref="#_x0000_s8193"/>
        <o:r id="V:Rule5" type="connector" idref="#AutoShape 3"/>
        <o:r id="V:Rule6" type="connector" idref="#AutoShape 2"/>
      </o:rules>
    </o:shapelayout>
  </w:hdrShapeDefaults>
  <w:footnotePr>
    <w:footnote w:id="-1"/>
    <w:footnote w:id="0"/>
  </w:footnotePr>
  <w:endnotePr>
    <w:endnote w:id="-1"/>
    <w:endnote w:id="0"/>
  </w:endnotePr>
  <w:compat/>
  <w:rsids>
    <w:rsidRoot w:val="00845713"/>
    <w:rsid w:val="0000005A"/>
    <w:rsid w:val="00002BB2"/>
    <w:rsid w:val="00007C34"/>
    <w:rsid w:val="000100A0"/>
    <w:rsid w:val="000104F2"/>
    <w:rsid w:val="0001143F"/>
    <w:rsid w:val="00014AD7"/>
    <w:rsid w:val="000222C4"/>
    <w:rsid w:val="0002307A"/>
    <w:rsid w:val="00023E90"/>
    <w:rsid w:val="00025852"/>
    <w:rsid w:val="00031609"/>
    <w:rsid w:val="000360B6"/>
    <w:rsid w:val="00036925"/>
    <w:rsid w:val="0003719D"/>
    <w:rsid w:val="00040C60"/>
    <w:rsid w:val="0004189F"/>
    <w:rsid w:val="00042267"/>
    <w:rsid w:val="000429D4"/>
    <w:rsid w:val="00042A5E"/>
    <w:rsid w:val="00044704"/>
    <w:rsid w:val="00055499"/>
    <w:rsid w:val="0005767C"/>
    <w:rsid w:val="00066D87"/>
    <w:rsid w:val="000751AF"/>
    <w:rsid w:val="00081016"/>
    <w:rsid w:val="00086570"/>
    <w:rsid w:val="00086F16"/>
    <w:rsid w:val="000931A3"/>
    <w:rsid w:val="000936F9"/>
    <w:rsid w:val="0009397D"/>
    <w:rsid w:val="00094EBA"/>
    <w:rsid w:val="00096094"/>
    <w:rsid w:val="000A4C07"/>
    <w:rsid w:val="000B15CA"/>
    <w:rsid w:val="000B3F3F"/>
    <w:rsid w:val="000B4F33"/>
    <w:rsid w:val="000C12AA"/>
    <w:rsid w:val="000C49BE"/>
    <w:rsid w:val="000C505D"/>
    <w:rsid w:val="000C6B6E"/>
    <w:rsid w:val="000C777C"/>
    <w:rsid w:val="000D056A"/>
    <w:rsid w:val="000D063A"/>
    <w:rsid w:val="000D126F"/>
    <w:rsid w:val="000D2DBE"/>
    <w:rsid w:val="000D4C42"/>
    <w:rsid w:val="000D4C73"/>
    <w:rsid w:val="000D7C8F"/>
    <w:rsid w:val="000E1646"/>
    <w:rsid w:val="000E237E"/>
    <w:rsid w:val="000E3EF9"/>
    <w:rsid w:val="000E67F8"/>
    <w:rsid w:val="000E6DDD"/>
    <w:rsid w:val="000F0150"/>
    <w:rsid w:val="000F6F43"/>
    <w:rsid w:val="001002EC"/>
    <w:rsid w:val="00101E22"/>
    <w:rsid w:val="001025FF"/>
    <w:rsid w:val="00103688"/>
    <w:rsid w:val="001069BB"/>
    <w:rsid w:val="00106CF4"/>
    <w:rsid w:val="00107888"/>
    <w:rsid w:val="0011134D"/>
    <w:rsid w:val="00114B1E"/>
    <w:rsid w:val="00120D30"/>
    <w:rsid w:val="00123BA6"/>
    <w:rsid w:val="001249DE"/>
    <w:rsid w:val="001253FF"/>
    <w:rsid w:val="00127355"/>
    <w:rsid w:val="001274C6"/>
    <w:rsid w:val="00127959"/>
    <w:rsid w:val="001317FE"/>
    <w:rsid w:val="00133D67"/>
    <w:rsid w:val="00152E05"/>
    <w:rsid w:val="0015504D"/>
    <w:rsid w:val="00157186"/>
    <w:rsid w:val="00157BBE"/>
    <w:rsid w:val="00163039"/>
    <w:rsid w:val="001651D1"/>
    <w:rsid w:val="001654AE"/>
    <w:rsid w:val="00166545"/>
    <w:rsid w:val="00167255"/>
    <w:rsid w:val="001700A3"/>
    <w:rsid w:val="00172E92"/>
    <w:rsid w:val="00174FFC"/>
    <w:rsid w:val="0017759A"/>
    <w:rsid w:val="001809CC"/>
    <w:rsid w:val="001811CB"/>
    <w:rsid w:val="00182C03"/>
    <w:rsid w:val="0018347B"/>
    <w:rsid w:val="001849B5"/>
    <w:rsid w:val="0018769A"/>
    <w:rsid w:val="0019169F"/>
    <w:rsid w:val="00191C46"/>
    <w:rsid w:val="00196F82"/>
    <w:rsid w:val="00197FC1"/>
    <w:rsid w:val="001A0F02"/>
    <w:rsid w:val="001A225A"/>
    <w:rsid w:val="001A69EB"/>
    <w:rsid w:val="001B0F1B"/>
    <w:rsid w:val="001B3813"/>
    <w:rsid w:val="001B3A6D"/>
    <w:rsid w:val="001B7C9C"/>
    <w:rsid w:val="001C101D"/>
    <w:rsid w:val="001C165B"/>
    <w:rsid w:val="001C36F2"/>
    <w:rsid w:val="001C391B"/>
    <w:rsid w:val="001C732F"/>
    <w:rsid w:val="001D0BEE"/>
    <w:rsid w:val="001D1DC3"/>
    <w:rsid w:val="001D2697"/>
    <w:rsid w:val="001D64ED"/>
    <w:rsid w:val="001E6E3A"/>
    <w:rsid w:val="001E6FBE"/>
    <w:rsid w:val="001F360D"/>
    <w:rsid w:val="001F469A"/>
    <w:rsid w:val="00201EC0"/>
    <w:rsid w:val="00202036"/>
    <w:rsid w:val="0020487E"/>
    <w:rsid w:val="00211FE7"/>
    <w:rsid w:val="00212060"/>
    <w:rsid w:val="00220A40"/>
    <w:rsid w:val="00223CFC"/>
    <w:rsid w:val="00241C24"/>
    <w:rsid w:val="00243EB3"/>
    <w:rsid w:val="00253921"/>
    <w:rsid w:val="0025608D"/>
    <w:rsid w:val="002562C8"/>
    <w:rsid w:val="00257542"/>
    <w:rsid w:val="00257B81"/>
    <w:rsid w:val="0026112D"/>
    <w:rsid w:val="00261A17"/>
    <w:rsid w:val="00265BD6"/>
    <w:rsid w:val="00266E71"/>
    <w:rsid w:val="00272E84"/>
    <w:rsid w:val="00274FEA"/>
    <w:rsid w:val="00275527"/>
    <w:rsid w:val="002833C1"/>
    <w:rsid w:val="002932F0"/>
    <w:rsid w:val="00293C5C"/>
    <w:rsid w:val="00295ED7"/>
    <w:rsid w:val="00297233"/>
    <w:rsid w:val="002A0A82"/>
    <w:rsid w:val="002A0B4D"/>
    <w:rsid w:val="002A3C34"/>
    <w:rsid w:val="002B119D"/>
    <w:rsid w:val="002B1224"/>
    <w:rsid w:val="002B2C31"/>
    <w:rsid w:val="002B5655"/>
    <w:rsid w:val="002C040B"/>
    <w:rsid w:val="002C14CB"/>
    <w:rsid w:val="002C19BE"/>
    <w:rsid w:val="002C2019"/>
    <w:rsid w:val="002C382E"/>
    <w:rsid w:val="002C39DE"/>
    <w:rsid w:val="002C3FC2"/>
    <w:rsid w:val="002C4151"/>
    <w:rsid w:val="002C699A"/>
    <w:rsid w:val="002D02A3"/>
    <w:rsid w:val="002D4A09"/>
    <w:rsid w:val="002E0F3D"/>
    <w:rsid w:val="002E2A92"/>
    <w:rsid w:val="002E65A7"/>
    <w:rsid w:val="002E7BCF"/>
    <w:rsid w:val="002F0130"/>
    <w:rsid w:val="002F2357"/>
    <w:rsid w:val="002F4550"/>
    <w:rsid w:val="003036D7"/>
    <w:rsid w:val="00304248"/>
    <w:rsid w:val="003057DF"/>
    <w:rsid w:val="00305888"/>
    <w:rsid w:val="00310BC8"/>
    <w:rsid w:val="00310CBE"/>
    <w:rsid w:val="00312804"/>
    <w:rsid w:val="0031588D"/>
    <w:rsid w:val="00315C6A"/>
    <w:rsid w:val="00315CBE"/>
    <w:rsid w:val="003173A5"/>
    <w:rsid w:val="00317C87"/>
    <w:rsid w:val="00322730"/>
    <w:rsid w:val="00322DE6"/>
    <w:rsid w:val="0032568D"/>
    <w:rsid w:val="0032658A"/>
    <w:rsid w:val="00327A57"/>
    <w:rsid w:val="00330485"/>
    <w:rsid w:val="00331E15"/>
    <w:rsid w:val="00333E17"/>
    <w:rsid w:val="00334441"/>
    <w:rsid w:val="00337A99"/>
    <w:rsid w:val="00345C25"/>
    <w:rsid w:val="003460D3"/>
    <w:rsid w:val="00346396"/>
    <w:rsid w:val="0034674C"/>
    <w:rsid w:val="00353EC0"/>
    <w:rsid w:val="003560AD"/>
    <w:rsid w:val="00357A08"/>
    <w:rsid w:val="00361CE9"/>
    <w:rsid w:val="0037460A"/>
    <w:rsid w:val="00376962"/>
    <w:rsid w:val="00381C8C"/>
    <w:rsid w:val="00384839"/>
    <w:rsid w:val="003905A8"/>
    <w:rsid w:val="00390ADB"/>
    <w:rsid w:val="00391C1F"/>
    <w:rsid w:val="00392A13"/>
    <w:rsid w:val="00394CF3"/>
    <w:rsid w:val="00394EA7"/>
    <w:rsid w:val="00397E15"/>
    <w:rsid w:val="00397EBB"/>
    <w:rsid w:val="003A2737"/>
    <w:rsid w:val="003A72A5"/>
    <w:rsid w:val="003A7858"/>
    <w:rsid w:val="003B073F"/>
    <w:rsid w:val="003B12A9"/>
    <w:rsid w:val="003B1395"/>
    <w:rsid w:val="003B1BE2"/>
    <w:rsid w:val="003B3AE2"/>
    <w:rsid w:val="003B42A4"/>
    <w:rsid w:val="003B5742"/>
    <w:rsid w:val="003B7674"/>
    <w:rsid w:val="003C123B"/>
    <w:rsid w:val="003C1B15"/>
    <w:rsid w:val="003C38CB"/>
    <w:rsid w:val="003C4461"/>
    <w:rsid w:val="003E12F4"/>
    <w:rsid w:val="003E2CC4"/>
    <w:rsid w:val="003E7006"/>
    <w:rsid w:val="003F2F87"/>
    <w:rsid w:val="003F7C84"/>
    <w:rsid w:val="004027B0"/>
    <w:rsid w:val="00402CB7"/>
    <w:rsid w:val="004034CB"/>
    <w:rsid w:val="00406673"/>
    <w:rsid w:val="004127DE"/>
    <w:rsid w:val="00413A32"/>
    <w:rsid w:val="00417044"/>
    <w:rsid w:val="00423575"/>
    <w:rsid w:val="00434A9D"/>
    <w:rsid w:val="004375D9"/>
    <w:rsid w:val="0044165A"/>
    <w:rsid w:val="00444295"/>
    <w:rsid w:val="00447D27"/>
    <w:rsid w:val="004506F1"/>
    <w:rsid w:val="00453F7A"/>
    <w:rsid w:val="00454916"/>
    <w:rsid w:val="0045669A"/>
    <w:rsid w:val="00456F82"/>
    <w:rsid w:val="0046174D"/>
    <w:rsid w:val="00466EB5"/>
    <w:rsid w:val="00470987"/>
    <w:rsid w:val="00471EAC"/>
    <w:rsid w:val="0048179A"/>
    <w:rsid w:val="00482DC9"/>
    <w:rsid w:val="00484144"/>
    <w:rsid w:val="00493EA2"/>
    <w:rsid w:val="00495B2D"/>
    <w:rsid w:val="00495BA6"/>
    <w:rsid w:val="00497482"/>
    <w:rsid w:val="004A1B96"/>
    <w:rsid w:val="004A5714"/>
    <w:rsid w:val="004B3611"/>
    <w:rsid w:val="004B58F6"/>
    <w:rsid w:val="004C4F15"/>
    <w:rsid w:val="004C626E"/>
    <w:rsid w:val="004C6C0F"/>
    <w:rsid w:val="004C795B"/>
    <w:rsid w:val="004D258C"/>
    <w:rsid w:val="004D5458"/>
    <w:rsid w:val="004D7183"/>
    <w:rsid w:val="004E5DEF"/>
    <w:rsid w:val="004F04F0"/>
    <w:rsid w:val="004F0AEB"/>
    <w:rsid w:val="004F7CA3"/>
    <w:rsid w:val="005026D4"/>
    <w:rsid w:val="00513455"/>
    <w:rsid w:val="00525355"/>
    <w:rsid w:val="00527AE2"/>
    <w:rsid w:val="0053207F"/>
    <w:rsid w:val="00532BF5"/>
    <w:rsid w:val="0053398D"/>
    <w:rsid w:val="00534E45"/>
    <w:rsid w:val="005379CA"/>
    <w:rsid w:val="00537A4F"/>
    <w:rsid w:val="005415A3"/>
    <w:rsid w:val="00541896"/>
    <w:rsid w:val="00544D2E"/>
    <w:rsid w:val="00550342"/>
    <w:rsid w:val="00551686"/>
    <w:rsid w:val="00551E9A"/>
    <w:rsid w:val="005524EC"/>
    <w:rsid w:val="0055590F"/>
    <w:rsid w:val="00560389"/>
    <w:rsid w:val="00560B4D"/>
    <w:rsid w:val="00564D9D"/>
    <w:rsid w:val="0056561B"/>
    <w:rsid w:val="005656DF"/>
    <w:rsid w:val="0056668A"/>
    <w:rsid w:val="005728DE"/>
    <w:rsid w:val="00574345"/>
    <w:rsid w:val="00581498"/>
    <w:rsid w:val="005840A9"/>
    <w:rsid w:val="00584BBE"/>
    <w:rsid w:val="00585650"/>
    <w:rsid w:val="00586CA6"/>
    <w:rsid w:val="00590782"/>
    <w:rsid w:val="0059761E"/>
    <w:rsid w:val="005A23E0"/>
    <w:rsid w:val="005A306F"/>
    <w:rsid w:val="005A6DE4"/>
    <w:rsid w:val="005A7E97"/>
    <w:rsid w:val="005B373C"/>
    <w:rsid w:val="005B3BAA"/>
    <w:rsid w:val="005C08BB"/>
    <w:rsid w:val="005C295A"/>
    <w:rsid w:val="005C5A0D"/>
    <w:rsid w:val="005C5E74"/>
    <w:rsid w:val="005C77F4"/>
    <w:rsid w:val="005D456A"/>
    <w:rsid w:val="005D55B8"/>
    <w:rsid w:val="005D5A84"/>
    <w:rsid w:val="005D72EE"/>
    <w:rsid w:val="005D7D5A"/>
    <w:rsid w:val="005D7DD1"/>
    <w:rsid w:val="005E0B66"/>
    <w:rsid w:val="005E3B35"/>
    <w:rsid w:val="005E3F32"/>
    <w:rsid w:val="005F25F1"/>
    <w:rsid w:val="005F2CBD"/>
    <w:rsid w:val="005F3E1A"/>
    <w:rsid w:val="005F5305"/>
    <w:rsid w:val="00600A57"/>
    <w:rsid w:val="00603B02"/>
    <w:rsid w:val="00605E81"/>
    <w:rsid w:val="00607F32"/>
    <w:rsid w:val="006105F4"/>
    <w:rsid w:val="006133B7"/>
    <w:rsid w:val="00617532"/>
    <w:rsid w:val="0062172B"/>
    <w:rsid w:val="00621BB1"/>
    <w:rsid w:val="00622249"/>
    <w:rsid w:val="006228A7"/>
    <w:rsid w:val="0062780E"/>
    <w:rsid w:val="006279D9"/>
    <w:rsid w:val="00634DD7"/>
    <w:rsid w:val="006444E6"/>
    <w:rsid w:val="00647C8B"/>
    <w:rsid w:val="0065488E"/>
    <w:rsid w:val="00670107"/>
    <w:rsid w:val="006767AA"/>
    <w:rsid w:val="00677128"/>
    <w:rsid w:val="006806CE"/>
    <w:rsid w:val="006816FA"/>
    <w:rsid w:val="00682D0C"/>
    <w:rsid w:val="00683519"/>
    <w:rsid w:val="006841E0"/>
    <w:rsid w:val="00685767"/>
    <w:rsid w:val="00685BF5"/>
    <w:rsid w:val="00695D24"/>
    <w:rsid w:val="0069700E"/>
    <w:rsid w:val="006A0799"/>
    <w:rsid w:val="006A1CC3"/>
    <w:rsid w:val="006A406E"/>
    <w:rsid w:val="006A64C1"/>
    <w:rsid w:val="006A713A"/>
    <w:rsid w:val="006B0B10"/>
    <w:rsid w:val="006B12A8"/>
    <w:rsid w:val="006B1673"/>
    <w:rsid w:val="006B6832"/>
    <w:rsid w:val="006B6B27"/>
    <w:rsid w:val="006C3848"/>
    <w:rsid w:val="006C4E22"/>
    <w:rsid w:val="006C4F03"/>
    <w:rsid w:val="006C5DA3"/>
    <w:rsid w:val="006D1AD4"/>
    <w:rsid w:val="006D6515"/>
    <w:rsid w:val="006E1ED8"/>
    <w:rsid w:val="006E5296"/>
    <w:rsid w:val="006F31C9"/>
    <w:rsid w:val="006F3892"/>
    <w:rsid w:val="006F3D3A"/>
    <w:rsid w:val="006F5955"/>
    <w:rsid w:val="00705B7C"/>
    <w:rsid w:val="00710F4B"/>
    <w:rsid w:val="00714F97"/>
    <w:rsid w:val="00715452"/>
    <w:rsid w:val="007170EA"/>
    <w:rsid w:val="0071720B"/>
    <w:rsid w:val="00720007"/>
    <w:rsid w:val="0072477D"/>
    <w:rsid w:val="00725CD8"/>
    <w:rsid w:val="00725FD1"/>
    <w:rsid w:val="007266CA"/>
    <w:rsid w:val="00730787"/>
    <w:rsid w:val="0073702F"/>
    <w:rsid w:val="0074638A"/>
    <w:rsid w:val="007470B8"/>
    <w:rsid w:val="0075390F"/>
    <w:rsid w:val="00754217"/>
    <w:rsid w:val="00755DE7"/>
    <w:rsid w:val="007564F0"/>
    <w:rsid w:val="0075795C"/>
    <w:rsid w:val="00761A25"/>
    <w:rsid w:val="00763EDC"/>
    <w:rsid w:val="00764A30"/>
    <w:rsid w:val="00765CB7"/>
    <w:rsid w:val="007677B2"/>
    <w:rsid w:val="00767C42"/>
    <w:rsid w:val="00780001"/>
    <w:rsid w:val="0078781F"/>
    <w:rsid w:val="007919CD"/>
    <w:rsid w:val="0079349C"/>
    <w:rsid w:val="007A097E"/>
    <w:rsid w:val="007A2556"/>
    <w:rsid w:val="007A5D0B"/>
    <w:rsid w:val="007A6C9D"/>
    <w:rsid w:val="007A70F6"/>
    <w:rsid w:val="007B21DB"/>
    <w:rsid w:val="007B3902"/>
    <w:rsid w:val="007C12FF"/>
    <w:rsid w:val="007C1BB9"/>
    <w:rsid w:val="007C2E24"/>
    <w:rsid w:val="007C2E2F"/>
    <w:rsid w:val="007C3DFF"/>
    <w:rsid w:val="007C45D2"/>
    <w:rsid w:val="007C52F4"/>
    <w:rsid w:val="007C7E2A"/>
    <w:rsid w:val="007C7EA2"/>
    <w:rsid w:val="007D45C2"/>
    <w:rsid w:val="007D6EB8"/>
    <w:rsid w:val="007E15A2"/>
    <w:rsid w:val="007E1AFB"/>
    <w:rsid w:val="007E240B"/>
    <w:rsid w:val="007E351F"/>
    <w:rsid w:val="007F0653"/>
    <w:rsid w:val="007F5093"/>
    <w:rsid w:val="007F5EB2"/>
    <w:rsid w:val="00801DA8"/>
    <w:rsid w:val="0080276D"/>
    <w:rsid w:val="008046DE"/>
    <w:rsid w:val="00805C3D"/>
    <w:rsid w:val="00810EB6"/>
    <w:rsid w:val="00814028"/>
    <w:rsid w:val="008154E1"/>
    <w:rsid w:val="00821CAB"/>
    <w:rsid w:val="008237C2"/>
    <w:rsid w:val="00830D49"/>
    <w:rsid w:val="00832804"/>
    <w:rsid w:val="00836628"/>
    <w:rsid w:val="00840253"/>
    <w:rsid w:val="008417EE"/>
    <w:rsid w:val="0084273A"/>
    <w:rsid w:val="00845713"/>
    <w:rsid w:val="00853423"/>
    <w:rsid w:val="00855F8E"/>
    <w:rsid w:val="00856BB8"/>
    <w:rsid w:val="0085792E"/>
    <w:rsid w:val="00860F39"/>
    <w:rsid w:val="00864547"/>
    <w:rsid w:val="008721F0"/>
    <w:rsid w:val="00872BC0"/>
    <w:rsid w:val="008746A6"/>
    <w:rsid w:val="008756B5"/>
    <w:rsid w:val="00875AC3"/>
    <w:rsid w:val="008821CF"/>
    <w:rsid w:val="00883BBE"/>
    <w:rsid w:val="008915E4"/>
    <w:rsid w:val="008918F5"/>
    <w:rsid w:val="00897984"/>
    <w:rsid w:val="008A3697"/>
    <w:rsid w:val="008A440D"/>
    <w:rsid w:val="008A61CA"/>
    <w:rsid w:val="008B2606"/>
    <w:rsid w:val="008B3719"/>
    <w:rsid w:val="008B5E9B"/>
    <w:rsid w:val="008B6EA3"/>
    <w:rsid w:val="008B723C"/>
    <w:rsid w:val="008C044D"/>
    <w:rsid w:val="008C0795"/>
    <w:rsid w:val="008C4B9B"/>
    <w:rsid w:val="008C5DEC"/>
    <w:rsid w:val="008D2A80"/>
    <w:rsid w:val="008D554B"/>
    <w:rsid w:val="008D752F"/>
    <w:rsid w:val="008E0977"/>
    <w:rsid w:val="008E1971"/>
    <w:rsid w:val="008E3256"/>
    <w:rsid w:val="008E61D0"/>
    <w:rsid w:val="008F1C36"/>
    <w:rsid w:val="008F5453"/>
    <w:rsid w:val="00903587"/>
    <w:rsid w:val="00906809"/>
    <w:rsid w:val="00906BE5"/>
    <w:rsid w:val="00907F64"/>
    <w:rsid w:val="009219AA"/>
    <w:rsid w:val="00922480"/>
    <w:rsid w:val="00923E69"/>
    <w:rsid w:val="009245CE"/>
    <w:rsid w:val="00926699"/>
    <w:rsid w:val="0093567D"/>
    <w:rsid w:val="009362B9"/>
    <w:rsid w:val="009406D5"/>
    <w:rsid w:val="00943EBD"/>
    <w:rsid w:val="00944F04"/>
    <w:rsid w:val="009477DA"/>
    <w:rsid w:val="00955FD6"/>
    <w:rsid w:val="00956260"/>
    <w:rsid w:val="009571C0"/>
    <w:rsid w:val="00962FB1"/>
    <w:rsid w:val="00970CBC"/>
    <w:rsid w:val="00973E6C"/>
    <w:rsid w:val="00973F0F"/>
    <w:rsid w:val="009745BD"/>
    <w:rsid w:val="00987C32"/>
    <w:rsid w:val="00987E7A"/>
    <w:rsid w:val="009956E8"/>
    <w:rsid w:val="0099799D"/>
    <w:rsid w:val="009A5168"/>
    <w:rsid w:val="009A5CFD"/>
    <w:rsid w:val="009A65FA"/>
    <w:rsid w:val="009A799F"/>
    <w:rsid w:val="009B2D0E"/>
    <w:rsid w:val="009B5191"/>
    <w:rsid w:val="009C531F"/>
    <w:rsid w:val="009C7DE7"/>
    <w:rsid w:val="009D0B2C"/>
    <w:rsid w:val="009D72C2"/>
    <w:rsid w:val="009E17F8"/>
    <w:rsid w:val="009E20A3"/>
    <w:rsid w:val="009E371A"/>
    <w:rsid w:val="009F3FC8"/>
    <w:rsid w:val="009F7D9E"/>
    <w:rsid w:val="00A049EB"/>
    <w:rsid w:val="00A10C4A"/>
    <w:rsid w:val="00A11D33"/>
    <w:rsid w:val="00A133CB"/>
    <w:rsid w:val="00A2001E"/>
    <w:rsid w:val="00A27DD1"/>
    <w:rsid w:val="00A30793"/>
    <w:rsid w:val="00A30CD5"/>
    <w:rsid w:val="00A333A9"/>
    <w:rsid w:val="00A37662"/>
    <w:rsid w:val="00A379B7"/>
    <w:rsid w:val="00A43FF9"/>
    <w:rsid w:val="00A44BF0"/>
    <w:rsid w:val="00A46D22"/>
    <w:rsid w:val="00A477F1"/>
    <w:rsid w:val="00A540E9"/>
    <w:rsid w:val="00A64A53"/>
    <w:rsid w:val="00A66EC0"/>
    <w:rsid w:val="00A718C7"/>
    <w:rsid w:val="00A71F19"/>
    <w:rsid w:val="00A75450"/>
    <w:rsid w:val="00A827D0"/>
    <w:rsid w:val="00A869A8"/>
    <w:rsid w:val="00A911DF"/>
    <w:rsid w:val="00A92E25"/>
    <w:rsid w:val="00A95393"/>
    <w:rsid w:val="00A960D6"/>
    <w:rsid w:val="00A97D21"/>
    <w:rsid w:val="00A97E30"/>
    <w:rsid w:val="00AA0D69"/>
    <w:rsid w:val="00AA576A"/>
    <w:rsid w:val="00AA58D6"/>
    <w:rsid w:val="00AB38A3"/>
    <w:rsid w:val="00AB72BD"/>
    <w:rsid w:val="00AC0C5F"/>
    <w:rsid w:val="00AC36BB"/>
    <w:rsid w:val="00AC3BE0"/>
    <w:rsid w:val="00AD095E"/>
    <w:rsid w:val="00AD0F88"/>
    <w:rsid w:val="00AD15C9"/>
    <w:rsid w:val="00AD3B7E"/>
    <w:rsid w:val="00AD3F4F"/>
    <w:rsid w:val="00AE0349"/>
    <w:rsid w:val="00AE20AF"/>
    <w:rsid w:val="00AE53C2"/>
    <w:rsid w:val="00AE56A2"/>
    <w:rsid w:val="00AF1D79"/>
    <w:rsid w:val="00AF23A3"/>
    <w:rsid w:val="00AF2CC9"/>
    <w:rsid w:val="00AF690D"/>
    <w:rsid w:val="00AF74C8"/>
    <w:rsid w:val="00AF7730"/>
    <w:rsid w:val="00B04BE6"/>
    <w:rsid w:val="00B05841"/>
    <w:rsid w:val="00B07269"/>
    <w:rsid w:val="00B14A3D"/>
    <w:rsid w:val="00B16CB0"/>
    <w:rsid w:val="00B20BD4"/>
    <w:rsid w:val="00B21C6B"/>
    <w:rsid w:val="00B222D1"/>
    <w:rsid w:val="00B23BC7"/>
    <w:rsid w:val="00B27EB0"/>
    <w:rsid w:val="00B31913"/>
    <w:rsid w:val="00B41C4C"/>
    <w:rsid w:val="00B44169"/>
    <w:rsid w:val="00B45129"/>
    <w:rsid w:val="00B458BD"/>
    <w:rsid w:val="00B476DE"/>
    <w:rsid w:val="00B501C9"/>
    <w:rsid w:val="00B506D0"/>
    <w:rsid w:val="00B50908"/>
    <w:rsid w:val="00B517B9"/>
    <w:rsid w:val="00B53785"/>
    <w:rsid w:val="00B53FC1"/>
    <w:rsid w:val="00B560B5"/>
    <w:rsid w:val="00B56A33"/>
    <w:rsid w:val="00B60D71"/>
    <w:rsid w:val="00B6573E"/>
    <w:rsid w:val="00B66C5D"/>
    <w:rsid w:val="00B70B80"/>
    <w:rsid w:val="00B7208E"/>
    <w:rsid w:val="00B739D2"/>
    <w:rsid w:val="00B7429A"/>
    <w:rsid w:val="00B750CF"/>
    <w:rsid w:val="00B75969"/>
    <w:rsid w:val="00B7733F"/>
    <w:rsid w:val="00B80216"/>
    <w:rsid w:val="00B80860"/>
    <w:rsid w:val="00B84504"/>
    <w:rsid w:val="00B859CB"/>
    <w:rsid w:val="00B85AB5"/>
    <w:rsid w:val="00B90390"/>
    <w:rsid w:val="00B934F8"/>
    <w:rsid w:val="00B94338"/>
    <w:rsid w:val="00BA04C3"/>
    <w:rsid w:val="00BA0FB5"/>
    <w:rsid w:val="00BA2208"/>
    <w:rsid w:val="00BA324D"/>
    <w:rsid w:val="00BA40E0"/>
    <w:rsid w:val="00BA5E10"/>
    <w:rsid w:val="00BA6908"/>
    <w:rsid w:val="00BA72F9"/>
    <w:rsid w:val="00BB068E"/>
    <w:rsid w:val="00BB1C5E"/>
    <w:rsid w:val="00BB44A4"/>
    <w:rsid w:val="00BB4DBF"/>
    <w:rsid w:val="00BB56A9"/>
    <w:rsid w:val="00BC236B"/>
    <w:rsid w:val="00BC3220"/>
    <w:rsid w:val="00BC4395"/>
    <w:rsid w:val="00BC6596"/>
    <w:rsid w:val="00BC6D2A"/>
    <w:rsid w:val="00BC7948"/>
    <w:rsid w:val="00BD3A37"/>
    <w:rsid w:val="00BD7E51"/>
    <w:rsid w:val="00BE08B1"/>
    <w:rsid w:val="00BE1774"/>
    <w:rsid w:val="00BE4F1A"/>
    <w:rsid w:val="00BF050B"/>
    <w:rsid w:val="00BF07B6"/>
    <w:rsid w:val="00BF10FA"/>
    <w:rsid w:val="00BF1403"/>
    <w:rsid w:val="00BF1612"/>
    <w:rsid w:val="00BF2E69"/>
    <w:rsid w:val="00BF4245"/>
    <w:rsid w:val="00BF61B0"/>
    <w:rsid w:val="00BF771D"/>
    <w:rsid w:val="00C03657"/>
    <w:rsid w:val="00C11ADC"/>
    <w:rsid w:val="00C16B2E"/>
    <w:rsid w:val="00C21050"/>
    <w:rsid w:val="00C2188E"/>
    <w:rsid w:val="00C221A2"/>
    <w:rsid w:val="00C22AE4"/>
    <w:rsid w:val="00C2309C"/>
    <w:rsid w:val="00C24BAD"/>
    <w:rsid w:val="00C269C2"/>
    <w:rsid w:val="00C27C3F"/>
    <w:rsid w:val="00C27DC6"/>
    <w:rsid w:val="00C32296"/>
    <w:rsid w:val="00C33870"/>
    <w:rsid w:val="00C379CF"/>
    <w:rsid w:val="00C452F0"/>
    <w:rsid w:val="00C4562D"/>
    <w:rsid w:val="00C51C4A"/>
    <w:rsid w:val="00C52E5F"/>
    <w:rsid w:val="00C617D3"/>
    <w:rsid w:val="00C635CD"/>
    <w:rsid w:val="00C65936"/>
    <w:rsid w:val="00C65B31"/>
    <w:rsid w:val="00C65FF7"/>
    <w:rsid w:val="00C66D78"/>
    <w:rsid w:val="00C67E64"/>
    <w:rsid w:val="00C74A72"/>
    <w:rsid w:val="00C7540E"/>
    <w:rsid w:val="00C809D0"/>
    <w:rsid w:val="00C81278"/>
    <w:rsid w:val="00C81341"/>
    <w:rsid w:val="00C82412"/>
    <w:rsid w:val="00C82F4C"/>
    <w:rsid w:val="00C830B9"/>
    <w:rsid w:val="00C8372F"/>
    <w:rsid w:val="00C83F1F"/>
    <w:rsid w:val="00C8406C"/>
    <w:rsid w:val="00C854D3"/>
    <w:rsid w:val="00C863BB"/>
    <w:rsid w:val="00C8797A"/>
    <w:rsid w:val="00C90A37"/>
    <w:rsid w:val="00C90D88"/>
    <w:rsid w:val="00C952C5"/>
    <w:rsid w:val="00C95983"/>
    <w:rsid w:val="00C96750"/>
    <w:rsid w:val="00C96860"/>
    <w:rsid w:val="00C972EC"/>
    <w:rsid w:val="00CA088F"/>
    <w:rsid w:val="00CA34FD"/>
    <w:rsid w:val="00CA373F"/>
    <w:rsid w:val="00CA56CB"/>
    <w:rsid w:val="00CA6541"/>
    <w:rsid w:val="00CB15D7"/>
    <w:rsid w:val="00CC03C4"/>
    <w:rsid w:val="00CC0F53"/>
    <w:rsid w:val="00CC1906"/>
    <w:rsid w:val="00CC1F57"/>
    <w:rsid w:val="00CC265A"/>
    <w:rsid w:val="00CD026C"/>
    <w:rsid w:val="00CD03A1"/>
    <w:rsid w:val="00CD08EC"/>
    <w:rsid w:val="00CD0DAE"/>
    <w:rsid w:val="00CD21EC"/>
    <w:rsid w:val="00CE5944"/>
    <w:rsid w:val="00CF68E6"/>
    <w:rsid w:val="00D03171"/>
    <w:rsid w:val="00D040E0"/>
    <w:rsid w:val="00D14236"/>
    <w:rsid w:val="00D214D0"/>
    <w:rsid w:val="00D21E5C"/>
    <w:rsid w:val="00D23384"/>
    <w:rsid w:val="00D23F75"/>
    <w:rsid w:val="00D2558D"/>
    <w:rsid w:val="00D25908"/>
    <w:rsid w:val="00D25DA5"/>
    <w:rsid w:val="00D2793A"/>
    <w:rsid w:val="00D33C50"/>
    <w:rsid w:val="00D40CF7"/>
    <w:rsid w:val="00D43847"/>
    <w:rsid w:val="00D43AE4"/>
    <w:rsid w:val="00D50CAD"/>
    <w:rsid w:val="00D52DD5"/>
    <w:rsid w:val="00D5388A"/>
    <w:rsid w:val="00D54308"/>
    <w:rsid w:val="00D55BD4"/>
    <w:rsid w:val="00D60FE3"/>
    <w:rsid w:val="00D621D8"/>
    <w:rsid w:val="00D67250"/>
    <w:rsid w:val="00D81247"/>
    <w:rsid w:val="00D820C2"/>
    <w:rsid w:val="00D821E6"/>
    <w:rsid w:val="00D82A98"/>
    <w:rsid w:val="00D8445F"/>
    <w:rsid w:val="00D8576B"/>
    <w:rsid w:val="00D85B67"/>
    <w:rsid w:val="00D93BF2"/>
    <w:rsid w:val="00D93EB6"/>
    <w:rsid w:val="00DA40D1"/>
    <w:rsid w:val="00DA5E3D"/>
    <w:rsid w:val="00DB1B02"/>
    <w:rsid w:val="00DB51AB"/>
    <w:rsid w:val="00DB6F30"/>
    <w:rsid w:val="00DC6768"/>
    <w:rsid w:val="00DD4B62"/>
    <w:rsid w:val="00DD761C"/>
    <w:rsid w:val="00DD7D15"/>
    <w:rsid w:val="00DE069B"/>
    <w:rsid w:val="00DE28AA"/>
    <w:rsid w:val="00DE390E"/>
    <w:rsid w:val="00DE52A4"/>
    <w:rsid w:val="00DE6F1C"/>
    <w:rsid w:val="00DF66E8"/>
    <w:rsid w:val="00E13BDD"/>
    <w:rsid w:val="00E164AF"/>
    <w:rsid w:val="00E16D3B"/>
    <w:rsid w:val="00E17F50"/>
    <w:rsid w:val="00E201C0"/>
    <w:rsid w:val="00E22F2E"/>
    <w:rsid w:val="00E256B0"/>
    <w:rsid w:val="00E25F67"/>
    <w:rsid w:val="00E2717B"/>
    <w:rsid w:val="00E3131F"/>
    <w:rsid w:val="00E372A8"/>
    <w:rsid w:val="00E419A9"/>
    <w:rsid w:val="00E45E8B"/>
    <w:rsid w:val="00E5143A"/>
    <w:rsid w:val="00E544AA"/>
    <w:rsid w:val="00E5468B"/>
    <w:rsid w:val="00E57C26"/>
    <w:rsid w:val="00E6358C"/>
    <w:rsid w:val="00E71565"/>
    <w:rsid w:val="00E755CB"/>
    <w:rsid w:val="00E77DA9"/>
    <w:rsid w:val="00E8556B"/>
    <w:rsid w:val="00E8601B"/>
    <w:rsid w:val="00E869F4"/>
    <w:rsid w:val="00E90CF8"/>
    <w:rsid w:val="00E94119"/>
    <w:rsid w:val="00E97758"/>
    <w:rsid w:val="00EA5B63"/>
    <w:rsid w:val="00EA6AF7"/>
    <w:rsid w:val="00EA7EE1"/>
    <w:rsid w:val="00EB0BEA"/>
    <w:rsid w:val="00EC01AC"/>
    <w:rsid w:val="00EC30DC"/>
    <w:rsid w:val="00EC6EAB"/>
    <w:rsid w:val="00ED0E4F"/>
    <w:rsid w:val="00ED3303"/>
    <w:rsid w:val="00ED5421"/>
    <w:rsid w:val="00ED66C5"/>
    <w:rsid w:val="00ED66CB"/>
    <w:rsid w:val="00EE0E33"/>
    <w:rsid w:val="00EE40C1"/>
    <w:rsid w:val="00EE71CD"/>
    <w:rsid w:val="00EE7ECF"/>
    <w:rsid w:val="00EF1FA3"/>
    <w:rsid w:val="00EF2F87"/>
    <w:rsid w:val="00F04199"/>
    <w:rsid w:val="00F045B2"/>
    <w:rsid w:val="00F04B21"/>
    <w:rsid w:val="00F04E2F"/>
    <w:rsid w:val="00F05AC3"/>
    <w:rsid w:val="00F11A00"/>
    <w:rsid w:val="00F13B57"/>
    <w:rsid w:val="00F161DC"/>
    <w:rsid w:val="00F17300"/>
    <w:rsid w:val="00F21E7C"/>
    <w:rsid w:val="00F22934"/>
    <w:rsid w:val="00F2473C"/>
    <w:rsid w:val="00F2537E"/>
    <w:rsid w:val="00F2795B"/>
    <w:rsid w:val="00F32AE8"/>
    <w:rsid w:val="00F32D8F"/>
    <w:rsid w:val="00F356BE"/>
    <w:rsid w:val="00F36E5C"/>
    <w:rsid w:val="00F37F07"/>
    <w:rsid w:val="00F435FA"/>
    <w:rsid w:val="00F44DBE"/>
    <w:rsid w:val="00F44F87"/>
    <w:rsid w:val="00F4628E"/>
    <w:rsid w:val="00F50D80"/>
    <w:rsid w:val="00F64264"/>
    <w:rsid w:val="00F64445"/>
    <w:rsid w:val="00F669BD"/>
    <w:rsid w:val="00F67726"/>
    <w:rsid w:val="00F713CD"/>
    <w:rsid w:val="00F718F9"/>
    <w:rsid w:val="00F7210D"/>
    <w:rsid w:val="00F726D0"/>
    <w:rsid w:val="00F75192"/>
    <w:rsid w:val="00F75FCC"/>
    <w:rsid w:val="00F81FDE"/>
    <w:rsid w:val="00F8506A"/>
    <w:rsid w:val="00F850E4"/>
    <w:rsid w:val="00F85DC3"/>
    <w:rsid w:val="00F85FC0"/>
    <w:rsid w:val="00F86191"/>
    <w:rsid w:val="00F90394"/>
    <w:rsid w:val="00FA096C"/>
    <w:rsid w:val="00FA104F"/>
    <w:rsid w:val="00FA238A"/>
    <w:rsid w:val="00FA3BD3"/>
    <w:rsid w:val="00FA5C2A"/>
    <w:rsid w:val="00FA78D8"/>
    <w:rsid w:val="00FA7A27"/>
    <w:rsid w:val="00FA7F8F"/>
    <w:rsid w:val="00FB026D"/>
    <w:rsid w:val="00FB13A0"/>
    <w:rsid w:val="00FB1B50"/>
    <w:rsid w:val="00FB4DB2"/>
    <w:rsid w:val="00FB5898"/>
    <w:rsid w:val="00FB69FE"/>
    <w:rsid w:val="00FD3780"/>
    <w:rsid w:val="00FD3993"/>
    <w:rsid w:val="00FD3AB3"/>
    <w:rsid w:val="00FD7BCA"/>
    <w:rsid w:val="00FE35D2"/>
    <w:rsid w:val="00FE5BAE"/>
    <w:rsid w:val="00FE63EF"/>
    <w:rsid w:val="00FE66E7"/>
    <w:rsid w:val="00FE73DC"/>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6" fill="f" fillcolor="white">
      <v:fill color="white" on="f"/>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C0F53"/>
    <w:pPr>
      <w:spacing w:after="120" w:line="240" w:lineRule="auto"/>
      <w:jc w:val="both"/>
    </w:pPr>
  </w:style>
  <w:style w:type="paragraph" w:styleId="Nadpis1">
    <w:name w:val="heading 1"/>
    <w:basedOn w:val="Normln"/>
    <w:next w:val="Normln"/>
    <w:link w:val="Nadpis1Char"/>
    <w:qFormat/>
    <w:rsid w:val="00D93BF2"/>
    <w:pPr>
      <w:keepNext/>
      <w:numPr>
        <w:numId w:val="2"/>
      </w:numPr>
      <w:tabs>
        <w:tab w:val="left" w:pos="567"/>
      </w:tabs>
      <w:spacing w:before="480"/>
      <w:ind w:left="431" w:hanging="431"/>
      <w:outlineLvl w:val="0"/>
    </w:pPr>
    <w:rPr>
      <w:rFonts w:eastAsia="Times New Roman" w:cs="Arial"/>
      <w:b/>
      <w:bCs/>
      <w:caps/>
      <w:kern w:val="32"/>
      <w:sz w:val="40"/>
      <w:szCs w:val="32"/>
      <w:lang w:eastAsia="cs-CZ"/>
    </w:rPr>
  </w:style>
  <w:style w:type="paragraph" w:styleId="Nadpis2">
    <w:name w:val="heading 2"/>
    <w:basedOn w:val="Normln"/>
    <w:next w:val="Normln"/>
    <w:link w:val="Nadpis2Char"/>
    <w:qFormat/>
    <w:rsid w:val="00167255"/>
    <w:pPr>
      <w:keepNext/>
      <w:numPr>
        <w:ilvl w:val="1"/>
        <w:numId w:val="2"/>
      </w:numPr>
      <w:spacing w:before="240"/>
      <w:ind w:left="578" w:hanging="578"/>
      <w:outlineLvl w:val="1"/>
    </w:pPr>
    <w:rPr>
      <w:rFonts w:eastAsia="Times New Roman" w:cs="Arial"/>
      <w:b/>
      <w:bCs/>
      <w:iCs/>
      <w:smallCaps/>
      <w:sz w:val="32"/>
      <w:szCs w:val="28"/>
      <w:lang w:eastAsia="cs-CZ"/>
    </w:rPr>
  </w:style>
  <w:style w:type="paragraph" w:styleId="Nadpis3">
    <w:name w:val="heading 3"/>
    <w:basedOn w:val="Normln"/>
    <w:next w:val="Normln"/>
    <w:link w:val="Nadpis3Char"/>
    <w:qFormat/>
    <w:rsid w:val="00A66EC0"/>
    <w:pPr>
      <w:keepNext/>
      <w:numPr>
        <w:ilvl w:val="2"/>
        <w:numId w:val="2"/>
      </w:numPr>
      <w:tabs>
        <w:tab w:val="left" w:pos="567"/>
      </w:tabs>
      <w:spacing w:before="240"/>
      <w:outlineLvl w:val="2"/>
    </w:pPr>
    <w:rPr>
      <w:rFonts w:eastAsia="Times New Roman" w:cs="Arial"/>
      <w:b/>
      <w:bCs/>
      <w:sz w:val="28"/>
      <w:szCs w:val="26"/>
      <w:lang w:eastAsia="cs-CZ"/>
    </w:rPr>
  </w:style>
  <w:style w:type="paragraph" w:styleId="Nadpis4">
    <w:name w:val="heading 4"/>
    <w:basedOn w:val="Normln"/>
    <w:next w:val="Normln"/>
    <w:link w:val="Nadpis4Char"/>
    <w:qFormat/>
    <w:rsid w:val="00B44169"/>
    <w:pPr>
      <w:keepNext/>
      <w:tabs>
        <w:tab w:val="left" w:pos="567"/>
      </w:tabs>
      <w:spacing w:after="0"/>
      <w:outlineLvl w:val="3"/>
    </w:pPr>
    <w:rPr>
      <w:rFonts w:eastAsia="Times New Roman" w:cs="Times New Roman"/>
      <w:b/>
      <w:iCs/>
      <w:szCs w:val="24"/>
      <w:u w:val="single"/>
      <w:lang w:eastAsia="cs-CZ"/>
    </w:rPr>
  </w:style>
  <w:style w:type="paragraph" w:styleId="Nadpis5">
    <w:name w:val="heading 5"/>
    <w:basedOn w:val="Normln"/>
    <w:next w:val="Normln"/>
    <w:link w:val="Nadpis5Char"/>
    <w:uiPriority w:val="9"/>
    <w:semiHidden/>
    <w:unhideWhenUsed/>
    <w:qFormat/>
    <w:rsid w:val="005E3B35"/>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4Char">
    <w:name w:val="Nadpis 4 Char"/>
    <w:basedOn w:val="Standardnpsmoodstavce"/>
    <w:link w:val="Nadpis4"/>
    <w:rsid w:val="00B44169"/>
    <w:rPr>
      <w:rFonts w:ascii="Courier New" w:eastAsia="Times New Roman" w:hAnsi="Courier New" w:cs="Times New Roman"/>
      <w:b/>
      <w:iCs/>
      <w:szCs w:val="24"/>
      <w:u w:val="single"/>
      <w:lang w:eastAsia="cs-CZ"/>
    </w:rPr>
  </w:style>
  <w:style w:type="character" w:customStyle="1" w:styleId="Nadpis3Char">
    <w:name w:val="Nadpis 3 Char"/>
    <w:basedOn w:val="Standardnpsmoodstavce"/>
    <w:link w:val="Nadpis3"/>
    <w:rsid w:val="00A66EC0"/>
    <w:rPr>
      <w:rFonts w:eastAsia="Times New Roman" w:cs="Arial"/>
      <w:b/>
      <w:bCs/>
      <w:sz w:val="28"/>
      <w:szCs w:val="26"/>
      <w:lang w:eastAsia="cs-CZ"/>
    </w:rPr>
  </w:style>
  <w:style w:type="character" w:customStyle="1" w:styleId="Nadpis2Char">
    <w:name w:val="Nadpis 2 Char"/>
    <w:basedOn w:val="Standardnpsmoodstavce"/>
    <w:link w:val="Nadpis2"/>
    <w:rsid w:val="00167255"/>
    <w:rPr>
      <w:rFonts w:eastAsia="Times New Roman" w:cs="Arial"/>
      <w:b/>
      <w:bCs/>
      <w:iCs/>
      <w:smallCaps/>
      <w:sz w:val="32"/>
      <w:szCs w:val="28"/>
      <w:lang w:eastAsia="cs-CZ"/>
    </w:rPr>
  </w:style>
  <w:style w:type="character" w:customStyle="1" w:styleId="Nadpis1Char">
    <w:name w:val="Nadpis 1 Char"/>
    <w:basedOn w:val="Standardnpsmoodstavce"/>
    <w:link w:val="Nadpis1"/>
    <w:rsid w:val="00D93BF2"/>
    <w:rPr>
      <w:rFonts w:eastAsia="Times New Roman" w:cs="Arial"/>
      <w:b/>
      <w:bCs/>
      <w:caps/>
      <w:kern w:val="32"/>
      <w:sz w:val="40"/>
      <w:szCs w:val="32"/>
      <w:lang w:eastAsia="cs-CZ"/>
    </w:rPr>
  </w:style>
  <w:style w:type="paragraph" w:styleId="Odstavecseseznamem">
    <w:name w:val="List Paragraph"/>
    <w:basedOn w:val="Normln"/>
    <w:uiPriority w:val="34"/>
    <w:qFormat/>
    <w:rsid w:val="00453F7A"/>
    <w:pPr>
      <w:ind w:left="720"/>
      <w:contextualSpacing/>
    </w:pPr>
  </w:style>
  <w:style w:type="paragraph" w:styleId="Textbubliny">
    <w:name w:val="Balloon Text"/>
    <w:basedOn w:val="Normln"/>
    <w:link w:val="TextbublinyChar"/>
    <w:uiPriority w:val="99"/>
    <w:semiHidden/>
    <w:unhideWhenUsed/>
    <w:rsid w:val="00C21050"/>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21050"/>
    <w:rPr>
      <w:rFonts w:ascii="Tahoma" w:hAnsi="Tahoma" w:cs="Tahoma"/>
      <w:sz w:val="16"/>
      <w:szCs w:val="16"/>
    </w:rPr>
  </w:style>
  <w:style w:type="paragraph" w:styleId="Titulek">
    <w:name w:val="caption"/>
    <w:basedOn w:val="Normln"/>
    <w:next w:val="Normln"/>
    <w:uiPriority w:val="35"/>
    <w:unhideWhenUsed/>
    <w:qFormat/>
    <w:rsid w:val="00127355"/>
    <w:pPr>
      <w:jc w:val="left"/>
    </w:pPr>
    <w:rPr>
      <w:bCs/>
      <w:i/>
      <w:szCs w:val="18"/>
    </w:rPr>
  </w:style>
  <w:style w:type="paragraph" w:styleId="Zhlav">
    <w:name w:val="header"/>
    <w:basedOn w:val="Normln"/>
    <w:link w:val="ZhlavChar"/>
    <w:unhideWhenUsed/>
    <w:rsid w:val="006F5955"/>
    <w:pPr>
      <w:tabs>
        <w:tab w:val="center" w:pos="4536"/>
        <w:tab w:val="right" w:pos="9072"/>
      </w:tabs>
      <w:spacing w:after="0"/>
    </w:pPr>
  </w:style>
  <w:style w:type="character" w:customStyle="1" w:styleId="ZhlavChar">
    <w:name w:val="Záhlaví Char"/>
    <w:basedOn w:val="Standardnpsmoodstavce"/>
    <w:link w:val="Zhlav"/>
    <w:rsid w:val="006F5955"/>
  </w:style>
  <w:style w:type="paragraph" w:styleId="Zpat">
    <w:name w:val="footer"/>
    <w:basedOn w:val="Normln"/>
    <w:link w:val="ZpatChar"/>
    <w:uiPriority w:val="99"/>
    <w:unhideWhenUsed/>
    <w:rsid w:val="006F5955"/>
    <w:pPr>
      <w:tabs>
        <w:tab w:val="center" w:pos="4536"/>
        <w:tab w:val="right" w:pos="9072"/>
      </w:tabs>
      <w:spacing w:after="0"/>
    </w:pPr>
  </w:style>
  <w:style w:type="character" w:customStyle="1" w:styleId="ZpatChar">
    <w:name w:val="Zápatí Char"/>
    <w:basedOn w:val="Standardnpsmoodstavce"/>
    <w:link w:val="Zpat"/>
    <w:uiPriority w:val="99"/>
    <w:rsid w:val="006F5955"/>
  </w:style>
  <w:style w:type="paragraph" w:styleId="Nzev">
    <w:name w:val="Title"/>
    <w:basedOn w:val="Normln"/>
    <w:next w:val="Normln"/>
    <w:link w:val="NzevChar"/>
    <w:uiPriority w:val="10"/>
    <w:qFormat/>
    <w:rsid w:val="00C90A37"/>
    <w:pPr>
      <w:spacing w:after="300"/>
      <w:contextualSpacing/>
    </w:pPr>
    <w:rPr>
      <w:rFonts w:eastAsiaTheme="majorEastAsia" w:cstheme="majorBidi"/>
      <w:b/>
      <w:caps/>
      <w:spacing w:val="5"/>
      <w:kern w:val="28"/>
      <w:sz w:val="40"/>
      <w:szCs w:val="52"/>
      <w:u w:val="single"/>
    </w:rPr>
  </w:style>
  <w:style w:type="character" w:customStyle="1" w:styleId="NzevChar">
    <w:name w:val="Název Char"/>
    <w:basedOn w:val="Standardnpsmoodstavce"/>
    <w:link w:val="Nzev"/>
    <w:uiPriority w:val="10"/>
    <w:rsid w:val="00C90A37"/>
    <w:rPr>
      <w:rFonts w:eastAsiaTheme="majorEastAsia" w:cstheme="majorBidi"/>
      <w:b/>
      <w:caps/>
      <w:spacing w:val="5"/>
      <w:kern w:val="28"/>
      <w:sz w:val="40"/>
      <w:szCs w:val="52"/>
      <w:u w:val="single"/>
    </w:rPr>
  </w:style>
  <w:style w:type="character" w:customStyle="1" w:styleId="Nadpis5Char">
    <w:name w:val="Nadpis 5 Char"/>
    <w:basedOn w:val="Standardnpsmoodstavce"/>
    <w:link w:val="Nadpis5"/>
    <w:uiPriority w:val="9"/>
    <w:semiHidden/>
    <w:rsid w:val="005E3B35"/>
    <w:rPr>
      <w:rFonts w:asciiTheme="majorHAnsi" w:eastAsiaTheme="majorEastAsia" w:hAnsiTheme="majorHAnsi" w:cstheme="majorBidi"/>
      <w:color w:val="365F91" w:themeColor="accent1" w:themeShade="BF"/>
    </w:rPr>
  </w:style>
  <w:style w:type="paragraph" w:styleId="Bezmezer">
    <w:name w:val="No Spacing"/>
    <w:link w:val="BezmezerChar"/>
    <w:uiPriority w:val="1"/>
    <w:qFormat/>
    <w:rsid w:val="00331E15"/>
    <w:pPr>
      <w:spacing w:after="0" w:line="240" w:lineRule="auto"/>
      <w:jc w:val="both"/>
    </w:pPr>
  </w:style>
  <w:style w:type="paragraph" w:customStyle="1" w:styleId="Default">
    <w:name w:val="Default"/>
    <w:rsid w:val="006228A7"/>
    <w:pPr>
      <w:autoSpaceDE w:val="0"/>
      <w:autoSpaceDN w:val="0"/>
      <w:adjustRightInd w:val="0"/>
      <w:spacing w:after="0" w:line="240" w:lineRule="auto"/>
    </w:pPr>
    <w:rPr>
      <w:rFonts w:ascii="Calibri" w:hAnsi="Calibri" w:cs="Calibri"/>
      <w:color w:val="000000"/>
      <w:sz w:val="24"/>
      <w:szCs w:val="24"/>
    </w:rPr>
  </w:style>
  <w:style w:type="character" w:styleId="Hypertextovodkaz">
    <w:name w:val="Hyperlink"/>
    <w:basedOn w:val="Standardnpsmoodstavce"/>
    <w:uiPriority w:val="99"/>
    <w:unhideWhenUsed/>
    <w:rsid w:val="00333E17"/>
    <w:rPr>
      <w:color w:val="0000FF" w:themeColor="hyperlink"/>
      <w:u w:val="single"/>
    </w:rPr>
  </w:style>
  <w:style w:type="table" w:styleId="Mkatabulky">
    <w:name w:val="Table Grid"/>
    <w:basedOn w:val="Normlntabulka"/>
    <w:uiPriority w:val="59"/>
    <w:rsid w:val="006816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iln">
    <w:name w:val="Strong"/>
    <w:basedOn w:val="Standardnpsmoodstavce"/>
    <w:uiPriority w:val="22"/>
    <w:qFormat/>
    <w:rsid w:val="00F8506A"/>
    <w:rPr>
      <w:b/>
      <w:bCs/>
    </w:rPr>
  </w:style>
  <w:style w:type="character" w:customStyle="1" w:styleId="BezmezerChar">
    <w:name w:val="Bez mezer Char"/>
    <w:basedOn w:val="Standardnpsmoodstavce"/>
    <w:link w:val="Bezmezer"/>
    <w:uiPriority w:val="1"/>
    <w:qFormat/>
    <w:rsid w:val="00720007"/>
  </w:style>
  <w:style w:type="paragraph" w:styleId="Prosttext">
    <w:name w:val="Plain Text"/>
    <w:basedOn w:val="Normln"/>
    <w:link w:val="ProsttextChar"/>
    <w:uiPriority w:val="99"/>
    <w:semiHidden/>
    <w:unhideWhenUsed/>
    <w:rsid w:val="008D2A80"/>
    <w:pPr>
      <w:spacing w:after="0"/>
      <w:jc w:val="left"/>
    </w:pPr>
    <w:rPr>
      <w:rFonts w:ascii="Consolas" w:hAnsi="Consolas"/>
      <w:sz w:val="21"/>
      <w:szCs w:val="21"/>
    </w:rPr>
  </w:style>
  <w:style w:type="character" w:customStyle="1" w:styleId="ProsttextChar">
    <w:name w:val="Prostý text Char"/>
    <w:basedOn w:val="Standardnpsmoodstavce"/>
    <w:link w:val="Prosttext"/>
    <w:uiPriority w:val="99"/>
    <w:semiHidden/>
    <w:rsid w:val="008D2A80"/>
    <w:rPr>
      <w:rFonts w:ascii="Consolas" w:hAnsi="Consolas"/>
      <w:sz w:val="21"/>
      <w:szCs w:val="21"/>
    </w:rPr>
  </w:style>
  <w:style w:type="paragraph" w:styleId="Obsah1">
    <w:name w:val="toc 1"/>
    <w:basedOn w:val="Normln"/>
    <w:next w:val="Normln"/>
    <w:autoRedefine/>
    <w:uiPriority w:val="39"/>
    <w:rsid w:val="00157186"/>
    <w:pPr>
      <w:tabs>
        <w:tab w:val="left" w:pos="400"/>
        <w:tab w:val="right" w:leader="dot" w:pos="9072"/>
      </w:tabs>
      <w:spacing w:before="120"/>
      <w:jc w:val="left"/>
    </w:pPr>
    <w:rPr>
      <w:rFonts w:eastAsia="MS Mincho" w:cs="Times New Roman"/>
      <w:b/>
      <w:bCs/>
      <w:caps/>
      <w:noProof/>
      <w:szCs w:val="20"/>
      <w:lang w:eastAsia="cs-CZ"/>
    </w:rPr>
  </w:style>
  <w:style w:type="paragraph" w:styleId="Obsah2">
    <w:name w:val="toc 2"/>
    <w:basedOn w:val="Normln"/>
    <w:next w:val="Normln"/>
    <w:autoRedefine/>
    <w:uiPriority w:val="39"/>
    <w:rsid w:val="00157186"/>
    <w:pPr>
      <w:tabs>
        <w:tab w:val="left" w:pos="880"/>
        <w:tab w:val="right" w:leader="dot" w:pos="9072"/>
      </w:tabs>
      <w:spacing w:after="0"/>
      <w:ind w:left="200"/>
      <w:jc w:val="left"/>
    </w:pPr>
    <w:rPr>
      <w:rFonts w:eastAsia="MS Mincho" w:cs="Times New Roman"/>
      <w:smallCaps/>
      <w:sz w:val="20"/>
      <w:szCs w:val="20"/>
      <w:lang w:eastAsia="cs-CZ"/>
    </w:rPr>
  </w:style>
</w:styles>
</file>

<file path=word/webSettings.xml><?xml version="1.0" encoding="utf-8"?>
<w:webSettings xmlns:r="http://schemas.openxmlformats.org/officeDocument/2006/relationships" xmlns:w="http://schemas.openxmlformats.org/wordprocessingml/2006/main">
  <w:divs>
    <w:div w:id="551768731">
      <w:bodyDiv w:val="1"/>
      <w:marLeft w:val="0"/>
      <w:marRight w:val="0"/>
      <w:marTop w:val="0"/>
      <w:marBottom w:val="0"/>
      <w:divBdr>
        <w:top w:val="none" w:sz="0" w:space="0" w:color="auto"/>
        <w:left w:val="none" w:sz="0" w:space="0" w:color="auto"/>
        <w:bottom w:val="none" w:sz="0" w:space="0" w:color="auto"/>
        <w:right w:val="none" w:sz="0" w:space="0" w:color="auto"/>
      </w:divBdr>
      <w:divsChild>
        <w:div w:id="262764090">
          <w:marLeft w:val="0"/>
          <w:marRight w:val="0"/>
          <w:marTop w:val="0"/>
          <w:marBottom w:val="0"/>
          <w:divBdr>
            <w:top w:val="none" w:sz="0" w:space="0" w:color="auto"/>
            <w:left w:val="none" w:sz="0" w:space="0" w:color="auto"/>
            <w:bottom w:val="none" w:sz="0" w:space="0" w:color="auto"/>
            <w:right w:val="none" w:sz="0" w:space="0" w:color="auto"/>
          </w:divBdr>
        </w:div>
        <w:div w:id="804547576">
          <w:marLeft w:val="0"/>
          <w:marRight w:val="0"/>
          <w:marTop w:val="0"/>
          <w:marBottom w:val="0"/>
          <w:divBdr>
            <w:top w:val="none" w:sz="0" w:space="0" w:color="auto"/>
            <w:left w:val="none" w:sz="0" w:space="0" w:color="auto"/>
            <w:bottom w:val="none" w:sz="0" w:space="0" w:color="auto"/>
            <w:right w:val="none" w:sz="0" w:space="0" w:color="auto"/>
          </w:divBdr>
        </w:div>
      </w:divsChild>
    </w:div>
    <w:div w:id="821432880">
      <w:bodyDiv w:val="1"/>
      <w:marLeft w:val="0"/>
      <w:marRight w:val="0"/>
      <w:marTop w:val="0"/>
      <w:marBottom w:val="0"/>
      <w:divBdr>
        <w:top w:val="none" w:sz="0" w:space="0" w:color="auto"/>
        <w:left w:val="none" w:sz="0" w:space="0" w:color="auto"/>
        <w:bottom w:val="none" w:sz="0" w:space="0" w:color="auto"/>
        <w:right w:val="none" w:sz="0" w:space="0" w:color="auto"/>
      </w:divBdr>
    </w:div>
    <w:div w:id="1009142436">
      <w:bodyDiv w:val="1"/>
      <w:marLeft w:val="0"/>
      <w:marRight w:val="0"/>
      <w:marTop w:val="0"/>
      <w:marBottom w:val="0"/>
      <w:divBdr>
        <w:top w:val="none" w:sz="0" w:space="0" w:color="auto"/>
        <w:left w:val="none" w:sz="0" w:space="0" w:color="auto"/>
        <w:bottom w:val="none" w:sz="0" w:space="0" w:color="auto"/>
        <w:right w:val="none" w:sz="0" w:space="0" w:color="auto"/>
      </w:divBdr>
    </w:div>
    <w:div w:id="1440955322">
      <w:bodyDiv w:val="1"/>
      <w:marLeft w:val="0"/>
      <w:marRight w:val="0"/>
      <w:marTop w:val="0"/>
      <w:marBottom w:val="0"/>
      <w:divBdr>
        <w:top w:val="none" w:sz="0" w:space="0" w:color="auto"/>
        <w:left w:val="none" w:sz="0" w:space="0" w:color="auto"/>
        <w:bottom w:val="none" w:sz="0" w:space="0" w:color="auto"/>
        <w:right w:val="none" w:sz="0" w:space="0" w:color="auto"/>
      </w:divBdr>
    </w:div>
    <w:div w:id="1651442416">
      <w:bodyDiv w:val="1"/>
      <w:marLeft w:val="0"/>
      <w:marRight w:val="120"/>
      <w:marTop w:val="0"/>
      <w:marBottom w:val="0"/>
      <w:divBdr>
        <w:top w:val="none" w:sz="0" w:space="0" w:color="auto"/>
        <w:left w:val="none" w:sz="0" w:space="0" w:color="auto"/>
        <w:bottom w:val="none" w:sz="0" w:space="0" w:color="auto"/>
        <w:right w:val="none" w:sz="0" w:space="0" w:color="auto"/>
      </w:divBdr>
      <w:divsChild>
        <w:div w:id="961422107">
          <w:marLeft w:val="0"/>
          <w:marRight w:val="0"/>
          <w:marTop w:val="0"/>
          <w:marBottom w:val="0"/>
          <w:divBdr>
            <w:top w:val="none" w:sz="0" w:space="0" w:color="auto"/>
            <w:left w:val="none" w:sz="0" w:space="0" w:color="auto"/>
            <w:bottom w:val="none" w:sz="0" w:space="0" w:color="auto"/>
            <w:right w:val="none" w:sz="0" w:space="0" w:color="auto"/>
          </w:divBdr>
        </w:div>
      </w:divsChild>
    </w:div>
    <w:div w:id="1941403814">
      <w:bodyDiv w:val="1"/>
      <w:marLeft w:val="0"/>
      <w:marRight w:val="0"/>
      <w:marTop w:val="0"/>
      <w:marBottom w:val="0"/>
      <w:divBdr>
        <w:top w:val="none" w:sz="0" w:space="0" w:color="auto"/>
        <w:left w:val="none" w:sz="0" w:space="0" w:color="auto"/>
        <w:bottom w:val="none" w:sz="0" w:space="0" w:color="auto"/>
        <w:right w:val="none" w:sz="0" w:space="0" w:color="auto"/>
      </w:divBdr>
      <w:divsChild>
        <w:div w:id="1563715644">
          <w:marLeft w:val="0"/>
          <w:marRight w:val="0"/>
          <w:marTop w:val="0"/>
          <w:marBottom w:val="0"/>
          <w:divBdr>
            <w:top w:val="none" w:sz="0" w:space="0" w:color="auto"/>
            <w:left w:val="none" w:sz="0" w:space="0" w:color="auto"/>
            <w:bottom w:val="none" w:sz="0" w:space="0" w:color="auto"/>
            <w:right w:val="none" w:sz="0" w:space="0" w:color="auto"/>
          </w:divBdr>
        </w:div>
        <w:div w:id="18706794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nehovamapa.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5.wmf"/></Relationships>
</file>

<file path=word/_rels/header2.xml.rels><?xml version="1.0" encoding="UTF-8" standalone="yes"?>
<Relationships xmlns="http://schemas.openxmlformats.org/package/2006/relationships"><Relationship Id="rId1" Type="http://schemas.openxmlformats.org/officeDocument/2006/relationships/image" Target="media/image5.wmf"/></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AC5E413-98DB-4821-992A-CA2057D53E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1482</TotalTime>
  <Pages>16</Pages>
  <Words>5004</Words>
  <Characters>29524</Characters>
  <Application>Microsoft Office Word</Application>
  <DocSecurity>0</DocSecurity>
  <Lines>246</Lines>
  <Paragraphs>68</Paragraphs>
  <ScaleCrop>false</ScaleCrop>
  <HeadingPairs>
    <vt:vector size="2" baseType="variant">
      <vt:variant>
        <vt:lpstr>Název</vt:lpstr>
      </vt:variant>
      <vt:variant>
        <vt:i4>1</vt:i4>
      </vt:variant>
    </vt:vector>
  </HeadingPairs>
  <TitlesOfParts>
    <vt:vector size="1" baseType="lpstr">
      <vt:lpstr/>
    </vt:vector>
  </TitlesOfParts>
  <Company>Ogilvy</Company>
  <LinksUpToDate>false</LinksUpToDate>
  <CharactersWithSpaces>34460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Radek Šťastný</dc:creator>
  <cp:lastModifiedBy>Michal Vich</cp:lastModifiedBy>
  <cp:revision>50</cp:revision>
  <cp:lastPrinted>2023-10-06T14:39:00Z</cp:lastPrinted>
  <dcterms:created xsi:type="dcterms:W3CDTF">2022-08-03T09:29:00Z</dcterms:created>
  <dcterms:modified xsi:type="dcterms:W3CDTF">2023-10-17T10:24:00Z</dcterms:modified>
</cp:coreProperties>
</file>